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Arial" w:hAnsi="Arial" w:eastAsia="Arial" w:cs="Arial"/>
          <w:sz w:val="40"/>
          <w:szCs w:val="40"/>
          <w:b w:val="1"/>
          <w:color w:val="000000"/>
        </w:rPr>
        <w:pStyle w:val="Title"/>
      </w:pPr>
      <w:r>
        <w:rPr>
          <w:rFonts w:ascii="Arial" w:hAnsi="Arial" w:eastAsia="Arial" w:cs="Arial"/>
          <w:sz w:val="40"/>
          <w:szCs w:val="40"/>
          <w:b w:val="1"/>
          <w:color w:val="000000"/>
        </w:rPr>
        <w:t>Support Document SD-01 - Concept Compression Map</w:t>
      </w:r>
    </w:p>
    <w:p>
      <w:pPr>
        <w:rPr>
          <w:rFonts w:ascii="Arial" w:hAnsi="Arial" w:eastAsia="Arial" w:cs="Arial"/>
          <w:sz w:val="22"/>
          <w:szCs w:val="22"/>
        </w:rPr>
      </w:pPr>
      <w:r>
        <w:rPr>
          <w:b/>
          <w:rFonts w:ascii="Arial" w:hAnsi="Arial" w:eastAsia="Arial" w:cs="Arial"/>
          <w:sz w:val="22"/>
          <w:szCs w:val="22"/>
        </w:rPr>
        <w:t>Part 3 (Sections 3a–3c): The Epistemic Method | Consolidated architecture compression | Source-locked | Issue 1</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419"/>
        <w:gridCol w:w="7661"/>
      </w:tblGrid>
      <w:tr>
        <w:trPr>
          <w:tblHeader/>
        </w:trPr>
        <w:tc>
          <w:tcPr>
            <w:tcW w:type="dxa" w:w="2419"/>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 field</w:t>
            </w:r>
          </w:p>
        </w:tc>
        <w:tc>
          <w:tcPr>
            <w:tcW w:type="dxa" w:w="7661"/>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Value</w:t>
            </w:r>
          </w:p>
        </w:tc>
      </w:tr>
      <w:tr>
        <w:trPr>
          <w:cantSplit/>
        </w:trPr>
        <w:tc>
          <w:tcPr>
            <w:tcW w:type="dxa" w:w="2419"/>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Document ID</w:t>
            </w:r>
          </w:p>
        </w:tc>
        <w:tc>
          <w:tcPr>
            <w:tcW w:type="dxa" w:w="766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TEM-P3-3A3B3C-SD01-CONCEPT-COMPRESSION-MAP</w:t>
            </w:r>
          </w:p>
        </w:tc>
      </w:tr>
      <w:tr>
        <w:trPr>
          <w:cantSplit/>
        </w:trPr>
        <w:tc>
          <w:tcPr>
            <w:tcW w:type="dxa" w:w="2419"/>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Version / issue</w:t>
            </w:r>
          </w:p>
        </w:tc>
        <w:tc>
          <w:tcPr>
            <w:tcW w:type="dxa" w:w="766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Issue 1 - aligned to the Issue 1 paper sequence</w:t>
            </w:r>
          </w:p>
        </w:tc>
      </w:tr>
      <w:tr>
        <w:trPr>
          <w:cantSplit/>
        </w:trPr>
        <w:tc>
          <w:tcPr>
            <w:tcW w:type="dxa" w:w="2419"/>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Date</w:t>
            </w:r>
          </w:p>
        </w:tc>
        <w:tc>
          <w:tcPr>
            <w:tcW w:type="dxa" w:w="766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2026-09-24</w:t>
            </w:r>
          </w:p>
        </w:tc>
      </w:tr>
      <w:tr>
        <w:trPr>
          <w:cantSplit/>
        </w:trPr>
        <w:tc>
          <w:tcPr>
            <w:tcW w:type="dxa" w:w="2419"/>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Status</w:t>
            </w:r>
          </w:p>
        </w:tc>
        <w:tc>
          <w:tcPr>
            <w:tcW w:type="dxa" w:w="766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Controlled Part 3 support document aligned to the eight Issue 1 canonical papers, GOT-V1-3a-1 through GOT-V1-3c-8. Secondary to the canonical papers.</w:t>
            </w:r>
          </w:p>
        </w:tc>
      </w:tr>
      <w:tr>
        <w:trPr>
          <w:cantSplit/>
        </w:trPr>
        <w:tc>
          <w:tcPr>
            <w:tcW w:type="dxa" w:w="2419"/>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Supersedes</w:t>
            </w:r>
          </w:p>
        </w:tc>
        <w:tc>
          <w:tcPr>
            <w:tcW w:type="dxa" w:w="766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Concept Compression Map - Issue 1 - Formatted.docx. This content reconciliation preserves the eight-paper sequence and updates source identities, ownership, locators, and support dependencies. Earlier release history remains recoverable in that source copy.</w:t>
            </w:r>
          </w:p>
        </w:tc>
      </w:tr>
      <w:tr>
        <w:trPr>
          <w:cantSplit/>
        </w:trPr>
        <w:tc>
          <w:tcPr>
            <w:tcW w:type="dxa" w:w="2419"/>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Function</w:t>
            </w:r>
          </w:p>
        </w:tc>
        <w:tc>
          <w:tcPr>
            <w:tcW w:type="dxa" w:w="766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Compresses the current Section 3a/3b/3c architecture into one controlled reference map for drafting, revision, cross-part alignment, glossary control, failure-control, bibliographic consolidation, and later application. No new technical concepts are introduced.</w:t>
            </w:r>
          </w:p>
        </w:tc>
      </w:tr>
      <w:tr>
        <w:trPr>
          <w:cantSplit/>
        </w:trPr>
        <w:tc>
          <w:tcPr>
            <w:tcW w:type="dxa" w:w="2419"/>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Canonical rule</w:t>
            </w:r>
          </w:p>
        </w:tc>
        <w:tc>
          <w:tcPr>
            <w:tcW w:type="dxa" w:w="766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Primary papers govern technical definitions. Paper 3a-1 horizon grammar; Paper 3a-2 unknown/residual discipline; Paper 3b-3 Power; Paper 3b-4 Responsibility; Paper 3b-5 Trust; Paper 3c-6 Formalisation; Paper 3c-7 governance of formalisation; Paper 3c-8 the integrated Epistemic Method.</w:t>
            </w:r>
          </w:p>
        </w:tc>
      </w:tr>
      <w:tr>
        <w:trPr>
          <w:cantSplit/>
        </w:trPr>
        <w:tc>
          <w:tcPr>
            <w:tcW w:type="dxa" w:w="2419"/>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Internal split rule</w:t>
            </w:r>
          </w:p>
        </w:tc>
        <w:tc>
          <w:tcPr>
            <w:tcW w:type="dxa" w:w="766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Section 3a, Section 3b, and Section 3c remain distinct canonical regions inside one Part-level support control. Downstream papers may inherit and apply upstream architecture but do not retroactively redefine it.</w:t>
            </w:r>
          </w:p>
        </w:tc>
      </w:tr>
      <w:tr>
        <w:trPr>
          <w:cantSplit/>
        </w:trPr>
        <w:tc>
          <w:tcPr>
            <w:tcW w:type="dxa" w:w="2419"/>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Source-lock rule</w:t>
            </w:r>
          </w:p>
        </w:tc>
        <w:tc>
          <w:tcPr>
            <w:tcW w:type="dxa" w:w="766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Use only the eight current canonical Part 3 papers as primary Part 3 conceptual sources. Use current Part 1 and Part 2 support stacks only as inherited-control references.</w:t>
            </w:r>
          </w:p>
        </w:tc>
      </w:tr>
      <w:tr>
        <w:trPr>
          <w:cantSplit/>
        </w:trPr>
        <w:tc>
          <w:tcPr>
            <w:tcW w:type="dxa" w:w="2419"/>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Template rule</w:t>
            </w:r>
          </w:p>
        </w:tc>
        <w:tc>
          <w:tcPr>
            <w:tcW w:type="dxa" w:w="766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Retain the established support-document layout and control schema. Earlier support copies retain historical evidence; the eight Issue 1 papers govern current content. Parts 1 and 2 remain inherited-control references only.</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000000"/>
        </w:rPr>
        <w:pStyle w:val="Heading1"/>
        <w:keepNext/>
        <w:keepLines/>
      </w:pPr>
      <w:r>
        <w:rPr>
          <w:rFonts w:ascii="Arial" w:hAnsi="Arial" w:eastAsia="Arial" w:cs="Arial"/>
          <w:sz w:val="30"/>
          <w:szCs w:val="30"/>
          <w:b w:val="1"/>
          <w:color w:val="000000"/>
        </w:rPr>
        <w:t>0. Part-level consolidation and source discipline</w:t>
      </w:r>
    </w:p>
    <w:p>
      <w:pPr>
        <w:rPr>
          <w:rFonts w:ascii="Arial" w:hAnsi="Arial" w:eastAsia="Arial" w:cs="Arial"/>
          <w:sz w:val="22"/>
          <w:szCs w:val="22"/>
        </w:rPr>
      </w:pPr>
      <w:r>
        <w:rPr>
          <w:rFonts w:ascii="Arial" w:hAnsi="Arial" w:eastAsia="Arial" w:cs="Arial"/>
          <w:sz w:val="22"/>
          <w:szCs w:val="22"/>
        </w:rPr>
        <w:t>This document consolidates the paper-complete Part 3 sequence into three internal regions without turning those regions into new canonical papers. The split is organisational: Section 3a establishes the finite-observer horizon and unknown grammar; Section 3b develops branch potential, attribution, and reliance; Section 3c formalises and governs the resulting claim/reliance paths and integrates them into the Epistemic Method. The eight papers remain canonical and retain their own ownership.</w:t>
      </w:r>
    </w:p>
    <w:p>
      <w:pPr>
        <w:rPr>
          <w:rFonts w:ascii="Arial" w:hAnsi="Arial" w:eastAsia="Arial" w:cs="Arial"/>
          <w:sz w:val="24"/>
          <w:szCs w:val="24"/>
          <w:b w:val="1"/>
          <w:color w:val="000000"/>
        </w:rPr>
        <w:pStyle w:val="Heading2"/>
        <w:keepNext/>
        <w:keepLines/>
      </w:pPr>
      <w:r>
        <w:rPr>
          <w:rFonts w:ascii="Arial" w:hAnsi="Arial" w:eastAsia="Arial" w:cs="Arial"/>
          <w:sz w:val="24"/>
          <w:szCs w:val="24"/>
          <w:b w:val="1"/>
          <w:color w:val="000000"/>
        </w:rPr>
        <w:t>0.1 Canonical source-lock register</w:t>
      </w:r>
    </w:p>
    <w:p>
      <w:pPr>
        <w:spacing w:before="0" w:after="120"/>
        <w:rPr>
          <w:rFonts w:ascii="Arial" w:hAnsi="Arial" w:eastAsia="Arial" w:cs="Arial"/>
          <w:sz w:val="24"/>
          <w:szCs w:val="24"/>
          <w:b w:val="1"/>
          <w:color w:val="000000"/>
        </w:rPr>
        <w:keepNext/>
        <w:keepLines/>
      </w:pPr>
      <w:r>
        <w:rPr>
          <w:rFonts w:ascii="Arial" w:hAnsi="Arial" w:eastAsia="Arial" w:cs="Arial"/>
          <w:sz w:val="22"/>
          <w:szCs w:val="24"/>
          <w:b w:val="0"/>
          <w:color w:val="000000"/>
        </w:rPr>
        <w:t>Paper keys 3a-1 to 3c-8 abbreviate the full GOT-V1 identifiers below. Section locators refer to the numbered headings in the Issue 1 papers; endnote locators use their Arabic note numbers. SHA16 records the first 16 hexadecimal characters of SHA-256.</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1411"/>
        <w:gridCol w:w="2923"/>
        <w:gridCol w:w="1915"/>
        <w:gridCol w:w="3830"/>
      </w:tblGrid>
      <w:tr>
        <w:trPr>
          <w:tblHeader/>
        </w:trPr>
        <w:tc>
          <w:tcPr>
            <w:tcW w:type="dxa" w:w="1411"/>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Seq.</w:t>
            </w:r>
          </w:p>
        </w:tc>
        <w:tc>
          <w:tcPr>
            <w:tcW w:type="dxa" w:w="2923"/>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Current canonical source</w:t>
            </w:r>
          </w:p>
        </w:tc>
        <w:tc>
          <w:tcPr>
            <w:tcW w:type="dxa" w:w="1915"/>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paper</w:t>
            </w:r>
          </w:p>
        </w:tc>
        <w:tc>
          <w:tcPr>
            <w:tcW w:type="dxa" w:w="3830"/>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ownership / use</w:t>
            </w:r>
          </w:p>
        </w:tc>
      </w:tr>
      <w:tr>
        <w:trPr>
          <w:cantSplit/>
        </w:trPr>
        <w:tc>
          <w:tcPr>
            <w:tcW w:type="dxa" w:w="141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GOT-V1-3a-1</w:t>
            </w:r>
          </w:p>
        </w:tc>
        <w:tc>
          <w:tcPr>
            <w:tcW w:type="dxa" w:w="292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GOT-V1-3a-1 - The Gödel Horizon - Issue 1.docx | sha16 44a8b20a68541a55</w:t>
            </w:r>
          </w:p>
        </w:tc>
        <w:tc>
          <w:tcPr>
            <w:tcW w:type="dxa" w:w="191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Gödel Horizon</w:t>
            </w:r>
          </w:p>
        </w:tc>
        <w:tc>
          <w:tcPr>
            <w:tcW w:type="dxa" w:w="383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Horizon grammar: relational availability; availability/closure boundary conditions; Soft Horizon; Gödel Horizon; Procedural Availability Horizon; coupled loci; abstraction boundaries; comparator and stabilisation discipline.</w:t>
            </w:r>
          </w:p>
        </w:tc>
      </w:tr>
      <w:tr>
        <w:trPr>
          <w:cantSplit/>
        </w:trPr>
        <w:tc>
          <w:tcPr>
            <w:tcW w:type="dxa" w:w="141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GOT-V1-3a-2</w:t>
            </w:r>
          </w:p>
        </w:tc>
        <w:tc>
          <w:tcPr>
            <w:tcW w:type="dxa" w:w="292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GOT-V1-3a-2 - The Discipline of the Unknown - Issue 1.docx | sha16 04d3becc2b5a5029</w:t>
            </w:r>
          </w:p>
        </w:tc>
        <w:tc>
          <w:tcPr>
            <w:tcW w:type="dxa" w:w="191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Discipline of the Unknown</w:t>
            </w:r>
          </w:p>
        </w:tc>
        <w:tc>
          <w:tcPr>
            <w:tcW w:type="dxa" w:w="383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Unknown-statuses; residual; positive exclusion; live formulations; Best Available Formulation; Weighted Residual; action threshold, safeguard, monitoring, stop condition, update, and branch-memory.</w:t>
            </w:r>
          </w:p>
        </w:tc>
      </w:tr>
      <w:tr>
        <w:trPr>
          <w:cantSplit/>
        </w:trPr>
        <w:tc>
          <w:tcPr>
            <w:tcW w:type="dxa" w:w="141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GOT-V1-3b-3</w:t>
            </w:r>
          </w:p>
        </w:tc>
        <w:tc>
          <w:tcPr>
            <w:tcW w:type="dxa" w:w="292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GOT-V1-3b-3 - On the Origin of Power - Issue 1.docx | sha16 d6d961fbb277a77c</w:t>
            </w:r>
          </w:p>
        </w:tc>
        <w:tc>
          <w:tcPr>
            <w:tcW w:type="dxa" w:w="191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Power</w:t>
            </w:r>
          </w:p>
        </w:tc>
        <w:tc>
          <w:tcPr>
            <w:tcW w:type="dxa" w:w="383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Primitive Power as IPL-indexed distinction-conditioned branch potential; Counterfactual Inclusion Field; potential/application/consequence separation; Counterfactual Exclusion; thermodynamic grounding.</w:t>
            </w:r>
          </w:p>
        </w:tc>
      </w:tr>
      <w:tr>
        <w:trPr>
          <w:cantSplit/>
        </w:trPr>
        <w:tc>
          <w:tcPr>
            <w:tcW w:type="dxa" w:w="141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GOT-V1-3b-4</w:t>
            </w:r>
          </w:p>
        </w:tc>
        <w:tc>
          <w:tcPr>
            <w:tcW w:type="dxa" w:w="292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GOT-V1-3b-4 - On the Origin of Responsibility - Issue 1.docx | sha16 ef17be5480bc49e7</w:t>
            </w:r>
          </w:p>
        </w:tc>
        <w:tc>
          <w:tcPr>
            <w:tcW w:type="dxa" w:w="191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Responsibility</w:t>
            </w:r>
          </w:p>
        </w:tc>
        <w:tc>
          <w:tcPr>
            <w:tcW w:type="dxa" w:w="383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Primitive Responsibility as locus-indexed attribution; Responsibility Provenance; distributed and temporal provenance; Responsibility Gradient; Immediate-Frame Principle; Responsibility Warrant.</w:t>
            </w:r>
          </w:p>
        </w:tc>
      </w:tr>
      <w:tr>
        <w:trPr>
          <w:cantSplit/>
        </w:trPr>
        <w:tc>
          <w:tcPr>
            <w:tcW w:type="dxa" w:w="141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GOT-V1-3b-5</w:t>
            </w:r>
          </w:p>
        </w:tc>
        <w:tc>
          <w:tcPr>
            <w:tcW w:type="dxa" w:w="292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GOT-V1-3b-5 - On the Origin of Trust - Issue 1.docx | sha16 d8a68ac35982e5a0</w:t>
            </w:r>
          </w:p>
        </w:tc>
        <w:tc>
          <w:tcPr>
            <w:tcW w:type="dxa" w:w="191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Trust</w:t>
            </w:r>
          </w:p>
        </w:tc>
        <w:tc>
          <w:tcPr>
            <w:tcW w:type="dxa" w:w="383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Trust as reliance closure under residual; primitive audit; branch-space economy; trust thresholds; vicarious trust; Epistemic Authority and the minimum Structural Authority distinction (§8); trust carriers; laundering; betrayal, repair, and formalisation handoff.</w:t>
            </w:r>
          </w:p>
        </w:tc>
      </w:tr>
      <w:tr>
        <w:trPr>
          <w:cantSplit/>
        </w:trPr>
        <w:tc>
          <w:tcPr>
            <w:tcW w:type="dxa" w:w="141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GOT-V1-3c-6</w:t>
            </w:r>
          </w:p>
        </w:tc>
        <w:tc>
          <w:tcPr>
            <w:tcW w:type="dxa" w:w="292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GOT-V1-3c-6 - The Case for Formalisation - Issue 1.docx | sha16 b4d11bd226838155</w:t>
            </w:r>
          </w:p>
        </w:tc>
        <w:tc>
          <w:tcPr>
            <w:tcW w:type="dxa" w:w="191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Case for Formalisation</w:t>
            </w:r>
          </w:p>
        </w:tc>
        <w:tc>
          <w:tcPr>
            <w:tcW w:type="dxa" w:w="383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Load-bearing language; recoverable authority; distinct epistemic grounding and structural authorisation (§1); epistemic debt; institutions and machines; formalisation as preservation; auditable claim packet; proportional formalisation; retrospective review.</w:t>
            </w:r>
          </w:p>
        </w:tc>
      </w:tr>
      <w:tr>
        <w:trPr>
          <w:cantSplit/>
        </w:trPr>
        <w:tc>
          <w:tcPr>
            <w:tcW w:type="dxa" w:w="141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GOT-V1-3c-7</w:t>
            </w:r>
          </w:p>
        </w:tc>
        <w:tc>
          <w:tcPr>
            <w:tcW w:type="dxa" w:w="292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GOT-V1-3c-7 - The Constitutional Governance of Formalisation - Issue 1.docx | sha16 a3540c539c730360</w:t>
            </w:r>
          </w:p>
        </w:tc>
        <w:tc>
          <w:tcPr>
            <w:tcW w:type="dxa" w:w="191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Constitutional Governance of Formalisation</w:t>
            </w:r>
          </w:p>
        </w:tc>
        <w:tc>
          <w:tcPr>
            <w:tcW w:type="dxa" w:w="383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Governance of formalisation; constitutional/technical/application levels; application of Epistemic Authority inherited from 3b-5; custodial and operational applications of Structural Authority (§6); amendment, forks, certification, and capture controls.</w:t>
            </w:r>
          </w:p>
        </w:tc>
      </w:tr>
      <w:tr>
        <w:trPr>
          <w:cantSplit/>
        </w:trPr>
        <w:tc>
          <w:tcPr>
            <w:tcW w:type="dxa" w:w="1411"/>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GOT-V1-3c-8</w:t>
            </w:r>
          </w:p>
        </w:tc>
        <w:tc>
          <w:tcPr>
            <w:tcW w:type="dxa" w:w="2923"/>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GOT-V1-3c-8 - The Epistemic Method - Issue 1.docx | sha16 dc08048b02787be4</w:t>
            </w:r>
          </w:p>
        </w:tc>
        <w:tc>
          <w:tcPr>
            <w:tcW w:type="dxa" w:w="1915"/>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Epistemic Method</w:t>
            </w:r>
          </w:p>
        </w:tc>
        <w:tc>
          <w:tcPr>
            <w:tcW w:type="dxa" w:w="383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Integrated relational audit of claim-strength and reliance-strength; indexed relation; claim and reliance paths; comparator, residual, reliance limit; preferential reliance and carrier-path preservation (§6); conditional Power/Responsibility audits; method-compliance is not closure.</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24"/>
          <w:szCs w:val="24"/>
          <w:b w:val="1"/>
          <w:color w:val="000000"/>
        </w:rPr>
        <w:pStyle w:val="Heading2"/>
        <w:keepNext/>
        <w:keepLines/>
      </w:pPr>
      <w:r>
        <w:rPr>
          <w:rFonts w:ascii="Arial" w:hAnsi="Arial" w:eastAsia="Arial" w:cs="Arial"/>
          <w:sz w:val="24"/>
          <w:szCs w:val="24"/>
          <w:b w:val="1"/>
          <w:color w:val="000000"/>
        </w:rPr>
        <w:t>0.2 Upstream inherited-control references</w:t>
      </w:r>
    </w:p>
    <w:tbl>
      <w:tblPr>
        <w:tblStyle w:val="TableGrid"/>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360"/>
        <w:gridCol w:w="3360"/>
        <w:gridCol w:w="3360"/>
      </w:tblGrid>
      <w:tr>
        <w:trPr>
          <w:tblHeader/>
        </w:trPr>
        <w:tc>
          <w:tcPr>
            <w:tcW w:type="dxa" w:w="1440"/>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 ID</w:t>
            </w:r>
          </w:p>
        </w:tc>
        <w:tc>
          <w:tcPr>
            <w:tcW w:type="dxa" w:w="5184"/>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Current source</w:t>
            </w:r>
          </w:p>
        </w:tc>
        <w:tc>
          <w:tcPr>
            <w:tcW w:type="dxa" w:w="6336"/>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Permitted use</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P1-SD01</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Concept Compression Map - Issue 1.docx | sha16 a256c5229849f993</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architecture compression for NTC, BD, IPL, DTS, life-threshold and localisation discipline.</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P1-SD02</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Glossary - Issue 1.docx | sha16 e97712ced4e2b095</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controlled vocabulary for inherited Part 1 terms.</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P1-SD03</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Guardrail and Failure-Mode Register - Issue 1.docx | sha16 794360cc1ff16519</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comparator, localisation, source-lock, and anti-inflation guardrails.</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P1-SD04</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Bibliography and Relation Register - Issue 1.docx | sha16 7b0b194c1552979b</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bibliographic relation-control reference only; no citation transfer into Part 3.</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P2-SD01</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 Concept Compression Map - Issue 1.docx | sha16 eee99287e2cfaa10</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control for RRP, signal, OP/OA/OR/RAS/RSD, knowledge, intelligence, observation, abstraction, scale, and observation-program architecture.</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P2-SD02</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 Glossary - Issue 1.docx | sha16 b144e7dc2eac7133</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controlled vocabulary for inherited informational and observational terms.</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P2-SD03</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 Guardrail and Failure-Mode Register - Issue 1.docx | sha16 f955341321f11d30</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failure-control for local locus, information/signal, observation, abstraction, scale, and descriptor discipline.</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P2-SD04</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 Bibliography and Relation Register - Issue 1.docx | sha16 12dc458d0e940e8c</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Upstream bibliographic relation-control reference only; no citation transfer into Part 3.</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Protocol</w:t>
            </w:r>
          </w:p>
        </w:tc>
        <w:tc>
          <w:tcPr>
            <w:tcW w:type="dxa" w:w="518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Historical reference: GOT - Bibliographic Identification Classification and Adjacency Discovery Protocol - Issue 1(1).docx | sha16 03dec29bfa52830c</w:t>
            </w:r>
          </w:p>
        </w:tc>
        <w:tc>
          <w:tcPr>
            <w:tcW w:type="dxa" w:w="633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Retained classification context from the prior support release. This protocol file is not in the current supplied control set; its recorded hash is historical and is not represented as a newly verified source. Existing classifications are retained, with no new promotion of inheritance.</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22"/>
          <w:szCs w:val="22"/>
        </w:rPr>
      </w:pPr>
      <w:r>
        <w:rPr>
          <w:rFonts w:ascii="Arial" w:hAnsi="Arial" w:eastAsia="Arial" w:cs="Arial"/>
          <w:sz w:val="22"/>
          <w:szCs w:val="22"/>
        </w:rPr>
        <w:t>Excluded source class: superseded Part 3 paper revisions as current identities; contextual essay-series material; downstream extension proposals; prior generated answers; unverified or unadmitted external material; and any later Part 3 concept not present in the current eight-paper canonical sequence. Bibliographic recurrence does not create technical inheritance.</w:t>
      </w:r>
    </w:p>
    <w:p>
      <w:pPr>
        <w:rPr>
          <w:rFonts w:ascii="Arial" w:hAnsi="Arial" w:eastAsia="Arial" w:cs="Arial"/>
          <w:sz w:val="24"/>
          <w:szCs w:val="24"/>
          <w:b w:val="1"/>
          <w:color w:val="000000"/>
        </w:rPr>
        <w:pStyle w:val="Heading2"/>
        <w:keepNext/>
        <w:keepLines/>
      </w:pPr>
      <w:r>
        <w:rPr>
          <w:rFonts w:ascii="Arial" w:hAnsi="Arial" w:eastAsia="Arial" w:cs="Arial"/>
          <w:sz w:val="24"/>
          <w:szCs w:val="24"/>
          <w:b w:val="1"/>
          <w:color w:val="000000"/>
        </w:rPr>
        <w:t>0.3 Internal subdivision map</w:t>
      </w:r>
    </w:p>
    <w:tbl>
      <w:tblPr>
        <w:tblStyle w:val="TableGrid"/>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520"/>
        <w:gridCol w:w="2520"/>
        <w:gridCol w:w="2520"/>
        <w:gridCol w:w="2520"/>
      </w:tblGrid>
      <w:tr>
        <w:trPr>
          <w:tblHeader/>
        </w:trPr>
        <w:tc>
          <w:tcPr>
            <w:tcW w:type="dxa" w:w="1440"/>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t>Section</w:t>
            </w:r>
          </w:p>
        </w:tc>
        <w:tc>
          <w:tcPr>
            <w:tcW w:type="dxa" w:w="316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Working title</w:t>
            </w:r>
          </w:p>
        </w:tc>
        <w:tc>
          <w:tcPr>
            <w:tcW w:type="dxa" w:w="172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papers</w:t>
            </w:r>
          </w:p>
        </w:tc>
        <w:tc>
          <w:tcPr>
            <w:tcW w:type="dxa" w:w="6192"/>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Function / boundary</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Section 3a</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Horizon and Unknown Discipline</w:t>
            </w:r>
          </w:p>
        </w:tc>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Papers 3a-1–3a-2</w:t>
            </w:r>
          </w:p>
        </w:tc>
        <w:tc>
          <w:tcPr>
            <w:tcW w:type="dxa" w:w="61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Papers 3a-1–3a-2 establish the finite-observer availability/closure grammar and the disciplined handling of unresolved relation. It does not pre-install Power, Responsibility, Trust, or formalisation.</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Section 3b</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Power, Responsibility, and Trust</w:t>
            </w:r>
          </w:p>
        </w:tc>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Papers 3b-3–3b-5</w:t>
            </w:r>
          </w:p>
        </w:tc>
        <w:tc>
          <w:tcPr>
            <w:tcW w:type="dxa" w:w="61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Papers 3b-3–3b-5 move from causal branch potential, to attributable consequential relation, to reliance closure across finite and distributed dependency. It inherits horizon/residual discipline but does not redefine it.</w:t>
            </w:r>
          </w:p>
        </w:tc>
      </w:tr>
      <w:tr>
        <w:trPr>
          <w:cantSplit/>
        </w:trPr>
        <w:tc>
          <w:tcPr>
            <w:tcW w:type="dxa" w:w="144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Section 3c</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Formalisation, Governance, and the Integrated Method</w:t>
            </w:r>
          </w:p>
        </w:tc>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Papers 3c-6–3c-8</w:t>
            </w:r>
          </w:p>
        </w:tc>
        <w:tc>
          <w:tcPr>
            <w:tcW w:type="dxa" w:w="619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Papers 3c-6–3c-8 make load-bearing claim and reliance paths recoverable, govern the formalisation itself, and integrate the architecture into the Epistemic Method. It integrates upstream relations without turning the integrated method into a substitute definition for their local discriminators.</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000000"/>
        </w:rPr>
        <w:pStyle w:val="Heading1"/>
        <w:keepNext/>
        <w:keepLines/>
      </w:pPr>
      <w:r>
        <w:rPr>
          <w:rFonts w:ascii="Arial" w:hAnsi="Arial" w:eastAsia="Arial" w:cs="Arial"/>
          <w:sz w:val="30"/>
          <w:szCs w:val="30"/>
          <w:b w:val="1"/>
          <w:color w:val="000000"/>
        </w:rPr>
        <w:t>1. Part compression in one sentence</w:t>
      </w:r>
    </w:p>
    <w:p>
      <w:pPr>
        <w:rPr>
          <w:rFonts w:ascii="Arial" w:hAnsi="Arial" w:eastAsia="Arial" w:cs="Arial"/>
          <w:sz w:val="22"/>
          <w:szCs w:val="22"/>
        </w:rPr>
      </w:pPr>
      <w:r>
        <w:rPr>
          <w:rFonts w:ascii="Arial" w:hAnsi="Arial" w:eastAsia="Arial" w:cs="Arial"/>
          <w:sz w:val="22"/>
          <w:szCs w:val="22"/>
        </w:rPr>
        <w:t>Part 3 begins from finite relational availability and incomplete closure, disciplines the unknown that remains, derives distinction-conditioned Power and attributable Responsibility, explains Trust as reliance closure across residual-bearing dependency, makes load-bearing claim and reliance paths recoverable through Formalisation, governs that formalisation against capture, and integrates the resulting burdens into the Epistemic Method without allowing any downstream layer to retroactively redefine the upstream relation it audits.</w:t>
      </w:r>
    </w:p>
    <w:p>
      <w:pPr>
        <w:rPr>
          <w:rFonts w:ascii="Arial" w:hAnsi="Arial" w:eastAsia="Arial" w:cs="Arial"/>
          <w:sz w:val="30"/>
          <w:szCs w:val="30"/>
          <w:b w:val="1"/>
          <w:color w:val="000000"/>
        </w:rPr>
        <w:pStyle w:val="Heading1"/>
        <w:keepNext/>
        <w:keepLines/>
      </w:pPr>
      <w:r>
        <w:rPr>
          <w:rFonts w:ascii="Arial" w:hAnsi="Arial" w:eastAsia="Arial" w:cs="Arial"/>
          <w:sz w:val="30"/>
          <w:szCs w:val="30"/>
          <w:b w:val="1"/>
          <w:color w:val="000000"/>
        </w:rPr>
        <w:t>2. Core compression</w:t>
      </w:r>
    </w:p>
    <w:p>
      <w:pPr>
        <w:rPr>
          <w:rFonts w:ascii="Arial" w:hAnsi="Arial" w:eastAsia="Arial" w:cs="Arial"/>
          <w:sz w:val="24"/>
          <w:szCs w:val="24"/>
          <w:b w:val="1"/>
          <w:color w:val="000000"/>
        </w:rPr>
        <w:pStyle w:val="Heading2"/>
        <w:keepNext/>
        <w:keepLines/>
      </w:pPr>
      <w:r>
        <w:rPr>
          <w:rFonts w:ascii="Arial" w:hAnsi="Arial" w:eastAsia="Arial" w:cs="Arial"/>
          <w:sz w:val="24"/>
          <w:szCs w:val="24"/>
          <w:b w:val="1"/>
          <w:color w:val="000000"/>
        </w:rPr>
        <w:t>Section 3a - Horizon and Unknown Discipline</w:t>
      </w:r>
    </w:p>
    <w:p>
      <w:pPr>
        <w:rPr>
          <w:rFonts w:ascii="Arial" w:hAnsi="Arial" w:eastAsia="Arial" w:cs="Arial"/>
          <w:sz w:val="22"/>
          <w:szCs w:val="22"/>
        </w:rPr>
      </w:pPr>
      <w:r>
        <w:rPr>
          <w:rFonts w:ascii="Arial" w:hAnsi="Arial" w:eastAsia="Arial" w:cs="Arial"/>
          <w:sz w:val="22"/>
          <w:szCs w:val="22"/>
        </w:rPr>
        <w:t>Paper 3a-1 separates availability from closure. A horizon is a locus-relative boundary in relational availability and closure, not an object or metaphysical edge. Soft Horizon names purpose-indexed provisional closure under residual; the Gödel Horizon is the stronger condition in which a relation is available or formulable under a well-posed closure demand while the present abstraction regime discloses that it cannot supply that closure from its own resources. Procedural Availability Horizon separately marks describable-but-unrealised access paths.</w:t>
      </w:r>
    </w:p>
    <w:p>
      <w:pPr>
        <w:rPr>
          <w:rFonts w:ascii="Arial" w:hAnsi="Arial" w:eastAsia="Arial" w:cs="Arial"/>
          <w:sz w:val="22"/>
          <w:szCs w:val="22"/>
        </w:rPr>
      </w:pPr>
      <w:r>
        <w:rPr>
          <w:rFonts w:ascii="Arial" w:hAnsi="Arial" w:eastAsia="Arial" w:cs="Arial"/>
          <w:sz w:val="22"/>
          <w:szCs w:val="22"/>
        </w:rPr>
        <w:t>Paper 3a-2 begins after that grammar. It differentiates unknown-statuses, localises residual, retains positively excluded and still-live formulations, permits heterogeneous weighting without false precision, identifies Best Available Formulation and Weighted Residual, and separates action threshold from truth or explanatory closure. Action may proceed only with safeguard, monitoring, stop condition, branch-memory, and update where those burdens are material.</w:t>
      </w:r>
    </w:p>
    <w:p>
      <w:pPr>
        <w:rPr>
          <w:rFonts w:ascii="Arial" w:hAnsi="Arial" w:eastAsia="Arial" w:cs="Arial"/>
          <w:sz w:val="24"/>
          <w:szCs w:val="24"/>
          <w:b w:val="1"/>
          <w:color w:val="000000"/>
        </w:rPr>
        <w:pStyle w:val="Heading2"/>
        <w:keepNext/>
        <w:keepLines/>
      </w:pPr>
      <w:r>
        <w:rPr>
          <w:rFonts w:ascii="Arial" w:hAnsi="Arial" w:eastAsia="Arial" w:cs="Arial"/>
          <w:sz w:val="24"/>
          <w:szCs w:val="24"/>
          <w:b w:val="1"/>
          <w:color w:val="000000"/>
        </w:rPr>
        <w:t>Section 3b - Power, Responsibility, and Trust</w:t>
      </w:r>
    </w:p>
    <w:p>
      <w:pPr>
        <w:rPr>
          <w:rFonts w:ascii="Arial" w:hAnsi="Arial" w:eastAsia="Arial" w:cs="Arial"/>
          <w:sz w:val="22"/>
          <w:szCs w:val="22"/>
        </w:rPr>
      </w:pPr>
      <w:r>
        <w:rPr>
          <w:rFonts w:ascii="Arial" w:hAnsi="Arial" w:eastAsia="Arial" w:cs="Arial"/>
          <w:sz w:val="22"/>
          <w:szCs w:val="22"/>
        </w:rPr>
        <w:t>Paper 3b-3 moves counterfactual structure from epistemic comparison into causal possibility. Primitive Power is the physically grounded, IPL-indexed potential for distinction-conditioned organisation to make downstream branch-realisation differ. The Counterfactual Inclusion Field contains only branches physically supported by the locus under the stated reference, comparator, thermodynamic, abstraction, and temporal conditions. Application realises part of that potential and yields Counterfactual Exclusion where a relevant included alternative is not equivalently realised.</w:t>
      </w:r>
    </w:p>
    <w:p>
      <w:pPr>
        <w:rPr>
          <w:rFonts w:ascii="Arial" w:hAnsi="Arial" w:eastAsia="Arial" w:cs="Arial"/>
          <w:sz w:val="22"/>
          <w:szCs w:val="22"/>
        </w:rPr>
      </w:pPr>
      <w:r>
        <w:rPr>
          <w:rFonts w:ascii="Arial" w:hAnsi="Arial" w:eastAsia="Arial" w:cs="Arial"/>
          <w:sz w:val="22"/>
          <w:szCs w:val="22"/>
        </w:rPr>
        <w:t>Paper 3b-4 asks which consequential application, non-application, retained condition, maintenance relation, or material field-conditioning effect is attributable to a locus. Responsibility Provenance follows the subset of causal history in which distinction-conditioned organisation did consequential work. It may be distributed and temporal without becoming a conserved scalar. Responsibility Warrant is a separate authorised or normative allocation and must not be narrated as provenance merely because a role, institution, or rule supplies it.</w:t>
      </w:r>
    </w:p>
    <w:p>
      <w:pPr>
        <w:rPr>
          <w:rFonts w:ascii="Arial" w:hAnsi="Arial" w:eastAsia="Arial" w:cs="Arial"/>
          <w:sz w:val="22"/>
          <w:szCs w:val="22"/>
        </w:rPr>
      </w:pPr>
      <w:r>
        <w:rPr>
          <w:rFonts w:ascii="Arial" w:hAnsi="Arial" w:eastAsia="Arial" w:cs="Arial"/>
          <w:sz w:val="22"/>
          <w:szCs w:val="22"/>
        </w:rPr>
        <w:t>Paper 3b-5 then addresses finite reliance across those dependencies. Trust is reliance closure under residual. It reduces repeated audit so a finite locus can continue, but the trusted relation, carrier, closure demand, residual, threshold, safeguard, provenance where relevant, and update must remain recoverable. Vicarious trust and trust carriers permit borrowed closure-work; trust laundering occurs when reliance-strength travels farther than the conditions that earned it.</w:t>
      </w:r>
    </w:p>
    <w:p>
      <w:pPr>
        <w:rPr>
          <w:rFonts w:ascii="Arial" w:hAnsi="Arial" w:eastAsia="Arial" w:cs="Arial"/>
          <w:sz w:val="22"/>
          <w:szCs w:val="22"/>
        </w:rPr>
      </w:pPr>
      <w:r>
        <w:rPr>
          <w:rFonts w:ascii="Arial" w:hAnsi="Arial" w:eastAsia="Arial" w:cs="Arial"/>
          <w:sz w:val="22"/>
          <w:szCs w:val="22"/>
        </w:rPr>
        <w:t>In section 8, Paper 3b-5 canonically defines Epistemic Authority as defeasible standing earned through demonstrated relation-preservation. Between loci, preferential reliance requires a demonstrated advantage concerning a shared target relation under comparable closure demand; the advantage must remain adequate for the use and survive the carrier path. Trust makes such standing operative in reliance but does not create it by recognition. Structural Authority is introduced only as scoped permission or mandate; its further development remains in Volume 2.</w:t>
      </w:r>
    </w:p>
    <w:p>
      <w:pPr>
        <w:rPr>
          <w:rFonts w:ascii="Arial" w:hAnsi="Arial" w:eastAsia="Arial" w:cs="Arial"/>
          <w:sz w:val="24"/>
          <w:szCs w:val="24"/>
          <w:b w:val="1"/>
          <w:color w:val="000000"/>
        </w:rPr>
        <w:pStyle w:val="Heading2"/>
        <w:keepNext/>
        <w:keepLines/>
      </w:pPr>
      <w:r>
        <w:rPr>
          <w:rFonts w:ascii="Arial" w:hAnsi="Arial" w:eastAsia="Arial" w:cs="Arial"/>
          <w:sz w:val="24"/>
          <w:szCs w:val="24"/>
          <w:b w:val="1"/>
          <w:color w:val="000000"/>
        </w:rPr>
        <w:t>Section 3c - Formalisation, Governance, and the Integrated Method</w:t>
      </w:r>
    </w:p>
    <w:p>
      <w:pPr>
        <w:rPr>
          <w:rFonts w:ascii="Arial" w:hAnsi="Arial" w:eastAsia="Arial" w:cs="Arial"/>
          <w:sz w:val="22"/>
          <w:szCs w:val="22"/>
        </w:rPr>
      </w:pPr>
      <w:r>
        <w:rPr>
          <w:rFonts w:ascii="Arial" w:hAnsi="Arial" w:eastAsia="Arial" w:cs="Arial"/>
          <w:sz w:val="22"/>
          <w:szCs w:val="22"/>
        </w:rPr>
        <w:t>Paper 3c-6 begins where trust carriers and compressed language become load-bearing. Formalisation is not universal rigidification of language. It is the recovery of grounding conditions when a term, category, record, model, procedure, institution, or machine output classifies, decides, governs, enforces, allocates, certifies, or otherwise carries consequential authority. The auditable claim packet preserves relation, locus, availability condition, closure demand, abstraction, evidence/record/carrier paths, comparator, residual, threshold, safeguard, and update at a level proportionate to the consequence.</w:t>
      </w:r>
    </w:p>
    <w:p>
      <w:pPr>
        <w:rPr>
          <w:rFonts w:ascii="Arial" w:hAnsi="Arial" w:eastAsia="Arial" w:cs="Arial"/>
          <w:sz w:val="22"/>
          <w:szCs w:val="22"/>
        </w:rPr>
      </w:pPr>
      <w:r>
        <w:rPr>
          <w:rFonts w:ascii="Arial" w:hAnsi="Arial" w:eastAsia="Arial" w:cs="Arial"/>
          <w:sz w:val="22"/>
          <w:szCs w:val="22"/>
        </w:rPr>
        <w:t>Paper 3c-7 subjects formalisation itself to the same discipline. It separates adaptive application, current technical formalisation, and proposed constitutional elements; and applies the Epistemic Authority account inherited from 3b-5, distinguishing it from custodial and operational applications of Structural Authority. No steward, institution, release, certificate, vote, implementation, or founding text owns epistemic strength. Revision is legitimate only where demonstrated relational failure is localised and a proposed alternative preserves the relevant relation more strongly under stated comparator and residual conditions. Competitive forks and dissent preserve corrigibility without converting preference into epistemic amendment.</w:t>
      </w:r>
    </w:p>
    <w:p>
      <w:pPr>
        <w:rPr>
          <w:rFonts w:ascii="Arial" w:hAnsi="Arial" w:eastAsia="Arial" w:cs="Arial"/>
          <w:sz w:val="22"/>
          <w:szCs w:val="22"/>
        </w:rPr>
      </w:pPr>
      <w:r>
        <w:rPr>
          <w:rFonts w:ascii="Arial" w:hAnsi="Arial" w:eastAsia="Arial" w:cs="Arial"/>
          <w:sz w:val="22"/>
          <w:szCs w:val="22"/>
        </w:rPr>
        <w:t>Paper 3c-8 integrates the sequence as relational audit. It does not collapse the prior discriminators into one master test. The method audits claim-strength and, where reliance occurs, reliance-strength by recovering the indexed relation, locus, availability, closure demand, abstraction, evidence, record and carrier paths, comparator, residual, reliance limit, threshold, safeguard, and update. Power and Responsibility become conditional audit paths only when those claims are made. Where preferential reliance is claimed, section 6 also tests the shared target relation, comparable closure demand, demonstrated advantage, and preservation through the carrier path. Method-compliance is itself a Soft Horizon and never becomes closure by completion.</w:t>
      </w:r>
    </w:p>
    <w:p>
      <w:pPr>
        <w:rPr>
          <w:rFonts w:ascii="Arial" w:hAnsi="Arial" w:eastAsia="Arial" w:cs="Arial"/>
          <w:sz w:val="30"/>
          <w:szCs w:val="30"/>
          <w:b w:val="1"/>
          <w:color w:val="000000"/>
        </w:rPr>
        <w:pStyle w:val="Heading1"/>
        <w:keepNext/>
        <w:keepLines/>
      </w:pPr>
      <w:r>
        <w:rPr>
          <w:rFonts w:ascii="Arial" w:hAnsi="Arial" w:eastAsia="Arial" w:cs="Arial"/>
          <w:sz w:val="30"/>
          <w:szCs w:val="30"/>
          <w:b w:val="1"/>
          <w:color w:val="000000"/>
        </w:rPr>
        <w:t>3. Primary sequence and canonical ownership map</w:t>
      </w:r>
    </w:p>
    <w:tbl>
      <w:tblPr>
        <w:tblStyle w:val="TableGrid"/>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520"/>
        <w:gridCol w:w="2520"/>
        <w:gridCol w:w="2520"/>
        <w:gridCol w:w="2520"/>
      </w:tblGrid>
      <w:tr>
        <w:trPr>
          <w:tblHeader/>
        </w:trPr>
        <w:tc>
          <w:tcPr>
            <w:tcW w:type="dxa" w:w="864"/>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Seq.</w:t>
            </w:r>
          </w:p>
        </w:tc>
        <w:tc>
          <w:tcPr>
            <w:tcW w:type="dxa" w:w="100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t>Section</w:t>
            </w:r>
          </w:p>
        </w:tc>
        <w:tc>
          <w:tcPr>
            <w:tcW w:type="dxa" w:w="316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paper</w:t>
            </w:r>
          </w:p>
        </w:tc>
        <w:tc>
          <w:tcPr>
            <w:tcW w:type="dxa" w:w="748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ownership</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3a</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Gödel Horizon</w:t>
            </w:r>
          </w:p>
        </w:tc>
        <w:tc>
          <w:tcPr>
            <w:tcW w:type="dxa" w:w="748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Horizon grammar: relational availability; availability/closure boundary conditions; Soft Horizon; Gödel Horizon; Procedural Availability Horizon; coupled loci; abstraction boundaries; comparator and stabilisation discipline.</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3a</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Discipline of the Unknown</w:t>
            </w:r>
          </w:p>
        </w:tc>
        <w:tc>
          <w:tcPr>
            <w:tcW w:type="dxa" w:w="748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Unknown-statuses; residual; positive exclusion; live formulations; Best Available Formulation; Weighted Residual; action threshold, safeguard, monitoring, stop condition, update, and branch-memory.</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3b</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Power</w:t>
            </w:r>
          </w:p>
        </w:tc>
        <w:tc>
          <w:tcPr>
            <w:tcW w:type="dxa" w:w="748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Primitive Power as IPL-indexed distinction-conditioned branch potential; Counterfactual Inclusion Field; potential/application/consequence separation; Counterfactual Exclusion; thermodynamic grounding.</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3b</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Responsibility</w:t>
            </w:r>
          </w:p>
        </w:tc>
        <w:tc>
          <w:tcPr>
            <w:tcW w:type="dxa" w:w="748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Primitive Responsibility as locus-indexed attribution; Responsibility Provenance; distributed and temporal provenance; Responsibility Gradient; Immediate-Frame Principle; Responsibility Warrant.</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3b</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Trust</w:t>
            </w:r>
          </w:p>
        </w:tc>
        <w:tc>
          <w:tcPr>
            <w:tcW w:type="dxa" w:w="748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Trust as reliance closure under residual; primitive audit; branch-space economy; trust thresholds; vicarious trust; Epistemic Authority and the minimum Structural Authority distinction (§8); trust carriers; laundering; betrayal, repair, and formalisation handoff.</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3c</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Case for Formalisation</w:t>
            </w:r>
          </w:p>
        </w:tc>
        <w:tc>
          <w:tcPr>
            <w:tcW w:type="dxa" w:w="748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Load-bearing language; recoverable authority; distinct epistemic grounding and structural authorisation (§1); epistemic debt; institutions and machines; formalisation as preservation; auditable claim packet; proportional formalisation; retrospective review.</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3c</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Constitutional Governance of Formalisation</w:t>
            </w:r>
          </w:p>
        </w:tc>
        <w:tc>
          <w:tcPr>
            <w:tcW w:type="dxa" w:w="748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Governance of formalisation; constitutional/technical/application levels; application of Epistemic Authority inherited from 3b-5; custodial and operational applications of Structural Authority (§6); amendment, forks, certification, and capture controls.</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c>
          <w:tcPr>
            <w:tcW w:type="dxa" w:w="100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3c</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Epistemic Method</w:t>
            </w:r>
          </w:p>
        </w:tc>
        <w:tc>
          <w:tcPr>
            <w:tcW w:type="dxa" w:w="748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Integrated relational audit of claim-strength and reliance-strength; indexed relation; claim and reliance paths; comparator, residual, reliance limit; preferential reliance and carrier-path preservation (§6); conditional Power/Responsibility audits; method-compliance is not closure.</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000000"/>
        </w:rPr>
        <w:pStyle w:val="Heading1"/>
        <w:keepNext/>
        <w:keepLines/>
      </w:pPr>
      <w:r>
        <w:rPr>
          <w:rFonts w:ascii="Arial" w:hAnsi="Arial" w:eastAsia="Arial" w:cs="Arial"/>
          <w:sz w:val="30"/>
          <w:szCs w:val="30"/>
          <w:b w:val="1"/>
          <w:color w:val="000000"/>
        </w:rPr>
        <w:t>4. Concept stack</w:t>
      </w:r>
    </w:p>
    <w:tbl>
      <w:tblPr>
        <w:tblStyle w:val="TableGrid"/>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520"/>
        <w:gridCol w:w="2520"/>
        <w:gridCol w:w="2520"/>
        <w:gridCol w:w="2520"/>
      </w:tblGrid>
      <w:tr>
        <w:trPr>
          <w:tblHeader/>
        </w:trPr>
        <w:tc>
          <w:tcPr>
            <w:tcW w:type="dxa" w:w="172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Layer</w:t>
            </w:r>
          </w:p>
        </w:tc>
        <w:tc>
          <w:tcPr>
            <w:tcW w:type="dxa" w:w="316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Controlled relation</w:t>
            </w:r>
          </w:p>
        </w:tc>
        <w:tc>
          <w:tcPr>
            <w:tcW w:type="dxa" w:w="1152"/>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Owner</w:t>
            </w:r>
          </w:p>
        </w:tc>
        <w:tc>
          <w:tcPr>
            <w:tcW w:type="dxa" w:w="7200"/>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Compression rule</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Finite relation</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Relational availability</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What relation is available to what locus under which access conditions?</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Closure</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Closure demand</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What strength of resolution is actually being claimed?</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Finite continuation</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Soft Horizon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Purpose-indexed provisional closure under residual.</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Boundary disclosure</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Gödel Horizon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3a-1</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Available/formulable relation cannot be closed by the current regime under its own present resources.</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Unknown discipline</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Residual / live field / BAF</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Preserve unresolved relation, exclusions, alternatives, weighting, and update without false closure.</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Action</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Threshold / safeguard / monitoring / stop / update</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3a-2</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Action may be justified under residual without converting action into truth-status.</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Causal potential</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Power / CIF</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Physically supported branch-changing potential of an IPL under stated conditions.</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Realisation</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Counterfactual Exclusion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3b-3</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Applied distinction conditions the realised branch and leaves a relevant included alternative not equivalently realised.</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Attribution</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Responsibility Provenance</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Recoverable path of consequential distinction-conditioned transformation.</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Allocation</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Responsibility Warrant</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3b-4</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Authorised/normative assignment kept distinct from causal provenance.</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Reliance</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Trust / primitive audit</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Reduced audit under residual, reopenable when mismatch or stakes defeat background closure.</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Carriage</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Trust carrier / vicarious trust</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Borrowed closure may travel through persons, records, institutions, models, procedures, and machines without transferring warrant.</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Epistemic standing</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Epistemic Authority</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 §8</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Defeasible standing earned through demonstrated relation-preservation; comparative advantage supports preferential reliance only within its demonstrated scope.</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Authorisation</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Structural Authority</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3b-5 §8</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Scoped permission or mandate conferred or recognised by an organised information-processing structure. Neither authority establishes the other; further development belongs to Volume 2.</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Authority under load</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Formalisation</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Recover grounding conditions where language or outputs become consequential.</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Recoverability</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Auditable claim packet</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3c-6</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Structured claim/reliance path with comparator, residual, threshold, safeguard, and update.</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Corrigibility</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Constitutional governance</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3c-7</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Govern method changes by demonstrated relation-preservation rather than status or preference.</w:t>
            </w:r>
          </w:p>
        </w:tc>
      </w:tr>
      <w:tr>
        <w:trPr>
          <w:cantSplit/>
        </w:trPr>
        <w:tc>
          <w:tcPr>
            <w:tcW w:type="dxa" w:w="17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Integrated audit</w:t>
            </w:r>
          </w:p>
        </w:tc>
        <w:tc>
          <w:tcPr>
            <w:tcW w:type="dxa" w:w="316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Epistemic Method</w:t>
            </w:r>
          </w:p>
        </w:tc>
        <w:tc>
          <w:tcPr>
            <w:tcW w:type="dxa" w:w="115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3c-8</w:t>
            </w:r>
          </w:p>
        </w:tc>
        <w:tc>
          <w:tcPr>
            <w:tcW w:type="dxa" w:w="7200"/>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Audit claim-strength and reliance-strength while preserving each relation-specific discriminator.</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000000"/>
        </w:rPr>
        <w:pStyle w:val="Heading1"/>
        <w:keepNext/>
        <w:keepLines/>
      </w:pPr>
      <w:r>
        <w:rPr>
          <w:rFonts w:ascii="Arial" w:hAnsi="Arial" w:eastAsia="Arial" w:cs="Arial"/>
          <w:sz w:val="30"/>
          <w:szCs w:val="30"/>
          <w:b w:val="1"/>
          <w:color w:val="000000"/>
        </w:rPr>
        <w:t>5. Dependency spine</w:t>
      </w:r>
    </w:p>
    <w:p>
      <w:pPr>
        <w:rPr>
          <w:rFonts w:ascii="Arial" w:hAnsi="Arial" w:eastAsia="Arial" w:cs="Arial"/>
          <w:sz w:val="22"/>
          <w:szCs w:val="22"/>
        </w:rPr>
        <w:pStyle w:val="ListBullet"/>
      </w:pPr>
      <w:r>
        <w:rPr>
          <w:rFonts w:ascii="Arial" w:hAnsi="Arial" w:eastAsia="Arial" w:cs="Arial"/>
          <w:sz w:val="22"/>
          <w:szCs w:val="22"/>
        </w:rPr>
        <w:t>Part 1 supplies the physical discriminator and localisation backbone used where Part 3 makes strong causal claims: NTC, BD-family comparison, IPL, and thermodynamic grounding remain upstream.</w:t>
      </w:r>
    </w:p>
    <w:p>
      <w:pPr>
        <w:rPr>
          <w:rFonts w:ascii="Arial" w:hAnsi="Arial" w:eastAsia="Arial" w:cs="Arial"/>
          <w:sz w:val="22"/>
          <w:szCs w:val="22"/>
        </w:rPr>
        <w:pStyle w:val="ListBullet"/>
      </w:pPr>
      <w:r>
        <w:rPr>
          <w:rFonts w:ascii="Arial" w:hAnsi="Arial" w:eastAsia="Arial" w:cs="Arial"/>
          <w:sz w:val="22"/>
          <w:szCs w:val="22"/>
        </w:rPr>
        <w:t>Part 2 supplies finite informational access, retained distinction, applied distinction, bounded registration, abstraction, scale, and observational envelope. Part 3 does not redefine those statuses.</w:t>
      </w:r>
    </w:p>
    <w:p>
      <w:pPr>
        <w:rPr>
          <w:rFonts w:ascii="Arial" w:hAnsi="Arial" w:eastAsia="Arial" w:cs="Arial"/>
          <w:sz w:val="22"/>
          <w:szCs w:val="22"/>
        </w:rPr>
        <w:pStyle w:val="ListBullet"/>
      </w:pPr>
      <w:r>
        <w:rPr>
          <w:rFonts w:ascii="Arial" w:hAnsi="Arial" w:eastAsia="Arial" w:cs="Arial"/>
          <w:sz w:val="22"/>
          <w:szCs w:val="22"/>
        </w:rPr>
        <w:t>Section 3a adds availability/closure and unknown discipline. Section 3b may use that grammar but cannot turn Power, Responsibility, or Trust into retroactive definitions of horizon or residual.</w:t>
      </w:r>
    </w:p>
    <w:p>
      <w:pPr>
        <w:rPr>
          <w:rFonts w:ascii="Arial" w:hAnsi="Arial" w:eastAsia="Arial" w:cs="Arial"/>
          <w:sz w:val="22"/>
          <w:szCs w:val="22"/>
        </w:rPr>
        <w:pStyle w:val="ListBullet"/>
      </w:pPr>
      <w:r>
        <w:rPr>
          <w:rFonts w:ascii="Arial" w:hAnsi="Arial" w:eastAsia="Arial" w:cs="Arial"/>
          <w:sz w:val="22"/>
          <w:szCs w:val="22"/>
        </w:rPr>
        <w:t>Section 3b adds causal potential, attribution, and reliance. Section 3c may formalise and audit those relations but cannot replace their local discriminators with packet-completion or method-compliance.</w:t>
      </w:r>
    </w:p>
    <w:p>
      <w:pPr>
        <w:rPr>
          <w:rFonts w:ascii="Arial" w:hAnsi="Arial" w:eastAsia="Arial" w:cs="Arial"/>
          <w:sz w:val="22"/>
          <w:szCs w:val="22"/>
        </w:rPr>
        <w:pStyle w:val="ListBullet"/>
      </w:pPr>
      <w:r>
        <w:rPr>
          <w:rFonts w:ascii="Arial" w:hAnsi="Arial" w:eastAsia="Arial" w:cs="Arial"/>
          <w:sz w:val="22"/>
          <w:szCs w:val="22"/>
        </w:rPr>
        <w:t>Paper 3c-8 is an integration point, not a new origin point. Epistemic Authority and the minimum Structural Authority distinction remain owned by 3b-5 §8; their downstream applications do not relocate those definitions. It preserves conditional audit branches for Power and Responsibility and keeps Trust, Formalisation, and Governance locally owned.</w:t>
      </w:r>
    </w:p>
    <w:p>
      <w:pPr>
        <w:rPr>
          <w:rFonts w:ascii="Arial" w:hAnsi="Arial" w:eastAsia="Arial" w:cs="Arial"/>
          <w:sz w:val="30"/>
          <w:szCs w:val="30"/>
          <w:b w:val="1"/>
          <w:color w:val="000000"/>
        </w:rPr>
        <w:pStyle w:val="Heading1"/>
        <w:keepNext/>
        <w:keepLines/>
      </w:pPr>
      <w:r>
        <w:rPr>
          <w:rFonts w:ascii="Arial" w:hAnsi="Arial" w:eastAsia="Arial" w:cs="Arial"/>
          <w:sz w:val="30"/>
          <w:szCs w:val="30"/>
          <w:b w:val="1"/>
          <w:color w:val="000000"/>
        </w:rPr>
        <w:t>6. Operational use sequence</w:t>
      </w:r>
    </w:p>
    <w:tbl>
      <w:tblPr>
        <w:tblStyle w:val="TableGrid"/>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360"/>
        <w:gridCol w:w="3360"/>
        <w:gridCol w:w="3360"/>
      </w:tblGrid>
      <w:tr>
        <w:trPr>
          <w:tblHeader/>
        </w:trPr>
        <w:tc>
          <w:tcPr>
            <w:tcW w:type="dxa" w:w="864"/>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Stage</w:t>
            </w:r>
          </w:p>
        </w:tc>
        <w:tc>
          <w:tcPr>
            <w:tcW w:type="dxa" w:w="3024"/>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Operation</w:t>
            </w:r>
          </w:p>
        </w:tc>
        <w:tc>
          <w:tcPr>
            <w:tcW w:type="dxa" w:w="9072"/>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Required discipline</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1</w:t>
            </w:r>
          </w:p>
        </w:tc>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Index the relation</w:t>
            </w:r>
          </w:p>
        </w:tc>
        <w:tc>
          <w:tcPr>
            <w:tcW w:type="dxa" w:w="90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State target relation, locus, availability condition, boundary, scale, horizon, abstraction, and closure demand.</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2</w:t>
            </w:r>
          </w:p>
        </w:tc>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Diagnose horizon/unknown status</w:t>
            </w:r>
          </w:p>
        </w:tc>
        <w:tc>
          <w:tcPr>
            <w:tcW w:type="dxa" w:w="90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Separate non-availability, procedural unavailability, misclosure, residual, live alternatives, and earned/provisional closure.</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3</w:t>
            </w:r>
          </w:p>
        </w:tc>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Recover causal potential where claimed</w:t>
            </w:r>
          </w:p>
        </w:tc>
        <w:tc>
          <w:tcPr>
            <w:tcW w:type="dxa" w:w="90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For Power, localise IPL and physically supported Counterfactual Inclusion Field; do not infer from authority, outcome, or imagined futures.</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4</w:t>
            </w:r>
          </w:p>
        </w:tc>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Recover attribution where claimed</w:t>
            </w:r>
          </w:p>
        </w:tc>
        <w:tc>
          <w:tcPr>
            <w:tcW w:type="dxa" w:w="90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For Responsibility, follow distinction-conditioned consequential contribution and distinguish Provenance from Warrant.</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5</w:t>
            </w:r>
          </w:p>
        </w:tc>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Recover reliance where present</w:t>
            </w:r>
          </w:p>
        </w:tc>
        <w:tc>
          <w:tcPr>
            <w:tcW w:type="dxa" w:w="90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Identify carrier, closure demand, residual, threshold, audit path, safeguard, and update. Where preferential reliance is claimed, recover the demonstrated advantage and its preservation through the carrier path (3b-5 §8; 3c-8 §6).</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6</w:t>
            </w:r>
          </w:p>
        </w:tc>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Formalise where load-bearing</w:t>
            </w:r>
          </w:p>
        </w:tc>
        <w:tc>
          <w:tcPr>
            <w:tcW w:type="dxa" w:w="90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Recover claim/reliance path proportionately; formalisation is required by consequence, not by language as such.</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7</w:t>
            </w:r>
          </w:p>
        </w:tc>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Govern the formalisation</w:t>
            </w:r>
          </w:p>
        </w:tc>
        <w:tc>
          <w:tcPr>
            <w:tcW w:type="dxa" w:w="90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Apply Epistemic Authority inherited from 3b-5; keep custodial and operational Structural Authority distinct from epistemic standing; revise through demonstrated relation-preservation (3c-7 §§6–7).</w:t>
            </w:r>
          </w:p>
        </w:tc>
      </w:tr>
      <w:tr>
        <w:trPr>
          <w:cantSplit/>
        </w:trPr>
        <w:tc>
          <w:tcPr>
            <w:tcW w:type="dxa" w:w="86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8</w:t>
            </w:r>
          </w:p>
        </w:tc>
        <w:tc>
          <w:tcPr>
            <w:tcW w:type="dxa" w:w="3024"/>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Apply the Epistemic Method</w:t>
            </w:r>
          </w:p>
        </w:tc>
        <w:tc>
          <w:tcPr>
            <w:tcW w:type="dxa" w:w="9072"/>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Audit claim-strength/reliance-strength; output closure, Soft Horizon, residual, refusal, weakened claim, action limit, or update obligation as warranted.</w:t>
            </w:r>
          </w:p>
        </w:tc>
      </w:tr>
    </w:tbl>
    <w:p>
      <w:pPr>
        <w:rPr>
          <w:rFonts w:ascii="Arial" w:hAnsi="Arial" w:eastAsia="Arial" w:cs="Arial"/>
          <w:sz w:val="22"/>
          <w:szCs w:val="22"/>
        </w:rPr>
        <w:pStyle w:val="Normal"/>
        <w:spacing w:before="0" w:after="0" w:line="240" w:lineRule="auto"/>
        <w:keepNext/>
      </w:pPr>
    </w:p>
    <w:p>
      <w:pPr>
        <w:rPr>
          <w:rFonts w:ascii="Arial" w:hAnsi="Arial" w:eastAsia="Arial" w:cs="Arial"/>
          <w:sz w:val="30"/>
          <w:szCs w:val="30"/>
          <w:b w:val="1"/>
          <w:color w:val="000000"/>
        </w:rPr>
        <w:pStyle w:val="Heading1"/>
        <w:keepNext/>
        <w:keepLines/>
      </w:pPr>
      <w:r>
        <w:rPr>
          <w:rFonts w:ascii="Arial" w:hAnsi="Arial" w:eastAsia="Arial" w:cs="Arial"/>
          <w:sz w:val="30"/>
          <w:szCs w:val="30"/>
          <w:b w:val="1"/>
          <w:color w:val="000000"/>
        </w:rPr>
        <w:t>7. Cross-section guardrail</w:t>
      </w:r>
    </w:p>
    <w:p>
      <w:pPr>
        <w:rPr>
          <w:rFonts w:ascii="Arial" w:hAnsi="Arial" w:eastAsia="Arial" w:cs="Arial"/>
          <w:sz w:val="22"/>
          <w:szCs w:val="22"/>
        </w:rPr>
      </w:pPr>
      <w:r>
        <w:rPr>
          <w:rFonts w:ascii="Arial" w:hAnsi="Arial" w:eastAsia="Arial" w:cs="Arial"/>
          <w:sz w:val="22"/>
          <w:szCs w:val="22"/>
        </w:rPr>
        <w:t>The internal split is directional. Section 3a supplies conditions later papers inherit. Section 3b extends the architecture into causal potential, attribution, and reliance. Section 3c recovers and governs the paths by which those claims travel. A later paper may expose an upstream compatibility problem, but the correction must remain an alignment correction to the owning relation. No later paper may pre-install its own vocabulary, status, or formal apparatus into an earlier canonical paper merely because the later architecture can describe it.</w:t>
      </w:r>
    </w:p>
    <w:p>
      <w:pPr>
        <w:rPr>
          <w:rFonts w:ascii="Arial" w:hAnsi="Arial" w:eastAsia="Arial" w:cs="Arial"/>
          <w:sz w:val="30"/>
          <w:szCs w:val="30"/>
          <w:b w:val="1"/>
          <w:color w:val="000000"/>
        </w:rPr>
        <w:pStyle w:val="Heading1"/>
        <w:keepNext/>
        <w:keepLines/>
      </w:pPr>
      <w:r>
        <w:rPr>
          <w:rFonts w:ascii="Arial" w:hAnsi="Arial" w:eastAsia="Arial" w:cs="Arial"/>
          <w:sz w:val="30"/>
          <w:szCs w:val="30"/>
          <w:b w:val="1"/>
          <w:color w:val="000000"/>
        </w:rPr>
        <w:t>8. Release checklist</w:t>
      </w:r>
    </w:p>
    <w:p>
      <w:pPr>
        <w:rPr>
          <w:rFonts w:ascii="Arial" w:hAnsi="Arial" w:eastAsia="Arial" w:cs="Arial"/>
          <w:sz w:val="22"/>
          <w:szCs w:val="22"/>
        </w:rPr>
        <w:pStyle w:val="ListBullet"/>
      </w:pPr>
      <w:r>
        <w:rPr>
          <w:rFonts w:ascii="Arial" w:hAnsi="Arial" w:eastAsia="Arial" w:cs="Arial"/>
          <w:sz w:val="22"/>
          <w:szCs w:val="22"/>
        </w:rPr>
        <w:t>Eight current Part 3 paper filenames and hashes are recorded.</w:t>
      </w:r>
    </w:p>
    <w:p>
      <w:pPr>
        <w:rPr>
          <w:rFonts w:ascii="Arial" w:hAnsi="Arial" w:eastAsia="Arial" w:cs="Arial"/>
          <w:sz w:val="22"/>
          <w:szCs w:val="22"/>
        </w:rPr>
        <w:pStyle w:val="ListBullet"/>
      </w:pPr>
      <w:r>
        <w:rPr>
          <w:rFonts w:ascii="Arial" w:hAnsi="Arial" w:eastAsia="Arial" w:cs="Arial"/>
          <w:sz w:val="22"/>
          <w:szCs w:val="22"/>
        </w:rPr>
        <w:t>3a/3b/3c ownership is explicit and directional.</w:t>
      </w:r>
    </w:p>
    <w:p>
      <w:pPr>
        <w:rPr>
          <w:rFonts w:ascii="Arial" w:hAnsi="Arial" w:eastAsia="Arial" w:cs="Arial"/>
          <w:sz w:val="22"/>
          <w:szCs w:val="22"/>
        </w:rPr>
        <w:pStyle w:val="ListBullet"/>
      </w:pPr>
      <w:r>
        <w:rPr>
          <w:rFonts w:ascii="Arial" w:hAnsi="Arial" w:eastAsia="Arial" w:cs="Arial"/>
          <w:sz w:val="22"/>
          <w:szCs w:val="22"/>
        </w:rPr>
        <w:t>Parts 1 and 2 remain upstream inherited-control references only.</w:t>
      </w:r>
    </w:p>
    <w:p>
      <w:pPr>
        <w:rPr>
          <w:rFonts w:ascii="Arial" w:hAnsi="Arial" w:eastAsia="Arial" w:cs="Arial"/>
          <w:sz w:val="22"/>
          <w:szCs w:val="22"/>
        </w:rPr>
        <w:pStyle w:val="ListBullet"/>
      </w:pPr>
      <w:r>
        <w:rPr>
          <w:rFonts w:ascii="Arial" w:hAnsi="Arial" w:eastAsia="Arial" w:cs="Arial"/>
          <w:sz w:val="22"/>
          <w:szCs w:val="22"/>
        </w:rPr>
        <w:t>Power and Responsibility are present as Papers 3b-3 and 3b-4 and Trust/Formalisation/Governance/Method are renumbered to Papers 3b-5–3c-8.</w:t>
      </w:r>
    </w:p>
    <w:p>
      <w:pPr>
        <w:rPr>
          <w:rFonts w:ascii="Arial" w:hAnsi="Arial" w:eastAsia="Arial" w:cs="Arial"/>
          <w:sz w:val="22"/>
          <w:szCs w:val="22"/>
        </w:rPr>
        <w:pStyle w:val="ListBullet"/>
      </w:pPr>
      <w:r>
        <w:rPr>
          <w:rFonts w:ascii="Arial" w:hAnsi="Arial" w:eastAsia="Arial" w:cs="Arial"/>
          <w:sz w:val="22"/>
          <w:szCs w:val="22"/>
        </w:rPr>
        <w:t>No support shorthand creates a new definition or Indexed Inheritance.</w:t>
      </w:r>
    </w:p>
    <w:p>
      <w:pPr>
        <w:rPr>
          <w:rFonts w:ascii="Arial" w:hAnsi="Arial" w:eastAsia="Arial" w:cs="Arial"/>
          <w:sz w:val="22"/>
          <w:szCs w:val="22"/>
        </w:rPr>
        <w:pStyle w:val="ListBullet"/>
      </w:pPr>
      <w:r>
        <w:rPr>
          <w:rFonts w:ascii="Arial" w:hAnsi="Arial" w:eastAsia="Arial" w:cs="Arial"/>
          <w:sz w:val="22"/>
          <w:szCs w:val="22"/>
        </w:rPr>
        <w:t>SD-01 is the first control in the new directional support chain: SD-01 -&gt; SD-02 -&gt; SD-03 -&gt; SD-04.</w:t>
      </w:r>
    </w:p>
    <w:p>
      <w:pPr>
        <w:rPr>
          <w:rFonts w:ascii="Arial" w:hAnsi="Arial" w:eastAsia="Arial" w:cs="Arial"/>
          <w:sz w:val="22"/>
          <w:szCs w:val="22"/>
        </w:rPr>
        <w:pStyle w:val="ListBullet"/>
      </w:pPr>
      <w:r>
        <w:rPr>
          <w:rFonts w:ascii="Arial" w:hAnsi="Arial" w:eastAsia="Arial" w:cs="Arial"/>
          <w:sz w:val="22"/>
          <w:szCs w:val="22"/>
        </w:rPr>
        <w:t>Any later paper edit triggers hash refresh and downstream support reconciliation.</w:t>
      </w:r>
    </w:p>
    <w:p>
      <w:pPr>
        <w:pStyle w:val="Heading1"/>
      </w:pPr>
      <w:r>
        <w:t>9. Source identity migration</w:t>
      </w:r>
    </w:p>
    <w:p>
      <w:pPr/>
      <w:r>
        <w:t>The following mapping preserves recovery of the previous paper and upstream source locks, together with the immediate support copies used for this reconciliation. Earlier filenames and hashes are historical identities, not the hashes of the current files. Current hashes are recorded in the active source registers and directional support chain.</w:t>
      </w:r>
    </w:p>
    <w:tbl>
      <w:tblPr>
        <w:tblStyle w:val="TableGrid"/>
        <w:tblW w:type="auto" w:w="0"/>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1296"/>
        <w:gridCol w:w="5328"/>
        <w:gridCol w:w="3456"/>
      </w:tblGrid>
      <w:tr>
        <w:trPr>
          <w:tblHeader/>
        </w:trPr>
        <w:tc>
          <w:tcPr>
            <w:tcW w:type="dxa" w:w="1296"/>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t>Identity</w:t>
            </w:r>
          </w:p>
        </w:tc>
        <w:tc>
          <w:tcPr>
            <w:tcW w:type="dxa" w:w="5328"/>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t>Previous recorded source or source copy</w:t>
            </w:r>
          </w:p>
        </w:tc>
        <w:tc>
          <w:tcPr>
            <w:tcW w:type="dxa" w:w="3456"/>
            <w:vAlign w:val="top"/>
            <w:shd w:fill="D9E2F3"/>
            <w:tcBorders>
              <w:top w:val="single" w:sz="4" w:color="7F7F7F"/>
              <w:left w:val="single" w:sz="4" w:color="7F7F7F"/>
              <w:bottom w:val="single" w:sz="4" w:color="7F7F7F"/>
              <w:right w:val="single" w:sz="4" w:color="7F7F7F"/>
            </w:tcBorders>
          </w:tcPr>
          <w:p>
            <w:pPr>
              <w:keepNext/>
              <w:rPr>
                <w:rFonts w:ascii="Arial" w:hAnsi="Arial" w:eastAsia="Arial" w:cs="Arial"/>
                <w:sz w:val="20"/>
                <w:szCs w:val="20"/>
              </w:rPr>
            </w:pPr>
            <w:r>
              <w:rPr>
                <w:rFonts w:ascii="Arial" w:hAnsi="Arial" w:eastAsia="Arial" w:cs="Arial"/>
                <w:sz w:val="20"/>
                <w:szCs w:val="20"/>
                <w:b/>
              </w:rPr>
              <w:t>Current Issue 1 identity</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GOT-V1-3a-1</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1. The Godel Horizon - v11.docx | sha16 ec6a0927e2a34dc9</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GOT-V1-3a-1 - The Gödel Horizon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GOT-V1-3a-2</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2. The Discipline of the Unknown - v10.docx | sha16 ac65c7e87f2b20bb</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GOT-V1-3a-2 - The Discipline of the Unknown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GOT-V1-3b-3</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3. On The Origin of Power - v4.docx | sha16 ee7f86a138914825</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GOT-V1-3b-3 - On the Origin of Power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GOT-V1-3b-4</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4. On the Origin of Responsibility - v5.docx | sha16 7902c61c1f597ec2</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GOT-V1-3b-4 - On the Origin of Responsibility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GOT-V1-3b-5</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5. On the Origin of Trust - v9.docx | sha16 6b9e2ef661612375</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GOT-V1-3b-5 - On the Origin of Trust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GOT-V1-3c-6</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6. The Case for Formalisation - v11.docx | sha16 3740842cbda34a4b</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GOT-V1-3c-6 - The Case for Formalisation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GOT-V1-3c-7</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7. The Constitutional Governance of Formalisation - v13.docx | sha16 22dd45afb5b7bca8</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GOT-V1-3c-7 - The Constitutional Governance of Formalisation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GOT-V1-3c-8</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8. The Epistemic Method - v10.docx | sha16 b544c8138497a0b9</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GOT-V1-3c-8 - The Epistemic Method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P1-SD01</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OOL - Concept Compression Map - Issue 1(1)(1).docx | sha16 f5f350bcf822572a</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Concept Compression Map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P1-SD02</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OOL - Series Master Glossary - Issue 1(1)(1).docx | sha16 3aa801ede985170a</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Glossary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P1-SD03</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OOL - Guardrail and Failure-Mode Register - Issue 1(1)(1).docx | sha16 61b6c0e1a87a2de4</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Guardrail and Failure-Mode Register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P1-SD04</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OOL - Part Bibliography and Relation Register - Issue 1(2)(1).docx | sha16 4f00dbe21d00fdce</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1 - Bibliography and Relation Register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P2-SD01</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(2a-2b) - Informational Architecture and Knowledge Intelligence and Observation - Concept Compression Map - Issue 1(1).docx | sha16 55c6d7f2e885ce66</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 Concept Compression Map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P2-SD02</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(2a-2b) - Informational Architecture and Knowledge Intelligence and Observation - Series Master Glossary - Issue 1(1).docx | sha16 b56df66b7bab72f5</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 Glossary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P2-SD03</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(2a-2b) - Informational Architecture and Knowledge Intelligence and Observation - Guardrail and Failure-Mode Register - Issue 1(1).docx | sha16 ca7145890d686e33</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 Guardrail and Failure-Mode Register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P2-SD04</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(2a-2b) - Informational Architecture and Knowledge Intelligence and Observation - Part Bibliography and Relation Register - Issue 1.docx | sha16 3201d8c446fafce2</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2 - Bibliography and Relation Register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P3-SD01 historical lock</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3 (3a-3c) - The Epistemic Method - Concept Compression Map - Issue 1.docx | sha16 3972971863ab7f9f</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Concept Compression Map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P3-SD02 historical lock</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3 (3a-3c) - The Epistemic Method - Series Master Glossary - Issue 1.docx | sha16 cff1e05d2cc0ae7d</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Glossary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P3-SD03 historical lock</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Part 3 (3a-3c) - The Epistemic Method - Guardrail and Failure-Mode Register - Issue 1.docx | sha16 64911cdb0bb5948e</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Guardrail and Failure-Mode Register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P3-SD01</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Concept Compression Map - Issue 1 - Formatted.docx | sha16 b58d6b19e7ec4236</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Concept Compression Map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P3-SD02</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Glossary - Issue 1 - Formatted.docx | sha16 a583f096f6d3daa3</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Glossary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P3-SD03</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Guardrail and Failure-Mode Register - Issue 1 - Formatted.docx | sha16 ea789ca372e3f77b</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Guardrail and Failure-Mode Register - Issue 1.docx</w:t>
            </w:r>
          </w:p>
        </w:tc>
      </w:tr>
      <w:tr>
        <w:trPr>
          <w:cantSplit/>
        </w:trPr>
        <w:tc>
          <w:tcPr>
            <w:tcW w:type="dxa" w:w="129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P3-SD04</w:t>
            </w:r>
          </w:p>
        </w:tc>
        <w:tc>
          <w:tcPr>
            <w:tcW w:type="dxa" w:w="5328"/>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Bibliography and Relation Register - Issue 1 - Formatted.docx | sha16 84cf6bbb44c6de8a</w:t>
            </w:r>
          </w:p>
        </w:tc>
        <w:tc>
          <w:tcPr>
            <w:tcW w:type="dxa" w:w="3456"/>
            <w:vAlign w:val="top"/>
            <w:tcBorders>
              <w:top w:val="single" w:sz="4" w:color="7F7F7F"/>
              <w:left w:val="single" w:sz="4" w:color="7F7F7F"/>
              <w:bottom w:val="single" w:sz="4" w:color="7F7F7F"/>
              <w:right w:val="single" w:sz="4" w:color="7F7F7F"/>
            </w:tcBorders>
          </w:tcPr>
          <w:p>
            <w:pPr>
              <w:rPr>
                <w:rFonts w:ascii="Arial" w:hAnsi="Arial" w:eastAsia="Arial" w:cs="Arial"/>
                <w:sz w:val="20"/>
                <w:szCs w:val="20"/>
              </w:rPr>
            </w:pPr>
            <w:r>
              <w:rPr>
                <w:rFonts w:ascii="Arial" w:hAnsi="Arial" w:eastAsia="Arial" w:cs="Arial"/>
                <w:sz w:val="20"/>
                <w:szCs w:val="20"/>
              </w:rPr>
              <w:t>Bibliography and Relation Register - Issue 1.docx</w:t>
            </w:r>
          </w:p>
        </w:tc>
      </w:tr>
    </w:tbl>
    <w:p>
      <w:pPr/>
    </w:p>
    <w:p>
      <w:pPr>
        <w:pStyle w:val="Heading1"/>
      </w:pPr>
      <w:r>
        <w:t>10. Deferred Toolkit support update</w:t>
      </w:r>
    </w:p>
    <w:p>
      <w:pPr>
        <w:keepLines/>
      </w:pPr>
      <w:r>
        <w:t>Deferred control source: Updates/Part 3 support control-2.docx | sha16 bee82ca4067d934b. The Substrate-Agnostic Formalisation Guardrail activates only when The Epistemic Toolkit becomes a canonical Part 3 paper and explicitly carries the rule. The present eight-paper Issue 1 set does not satisfy that activation condition.</w:t>
      </w:r>
    </w:p>
    <w:p>
      <w:pPr/>
      <w:r>
        <w:t>Substrate capture and substrate erasure therefore remain deferred controls, outside the active failure-mode register. On activation, reconcile all four support documents in sequence: record Toolkit ownership in SD-01; add a glossary term only if the Toolkit controls it; add the paired failure controls and related cross-references in SD-03; and register only the mathematical sources actually admitted by the Toolkit in SD-04. Preserve the control’s non-effect clause and the upstream ownership of physical grounding.</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sz w:val="18"/>
        <w:szCs w:val="18"/>
      </w:rPr>
      <w:t>Secondary to canonical papers. Primary papers govern technical 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eastAsia="Arial" w:cs="Arial"/>
        <w:sz w:val="18"/>
        <w:szCs w:val="18"/>
      </w:rPr>
      <w:t>Part 3 (3a-3c): The Epistemic Method | TEM-P3-3A3B3C-SD01-CONCEPT-COMPRESSION-MAP | Issue 1 | Source-locked</w:t>
      <w:br/>
      <w:t>Secondary to canonical papers. Primary papers govern technical use.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sz w:val="22"/>
      <w:szCs w:val="22"/>
    </w:rPr>
  </w:style>
  <w:style w:type="paragraph" w:styleId="Header">
    <w:rPr>
      <w:rFonts w:ascii="Arial" w:hAnsi="Arial" w:eastAsia="Arial" w:cs="Arial"/>
      <w:sz w:val="18"/>
      <w:szCs w:val="18"/>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2"/>
      <w:szCs w:val="22"/>
    </w:rPr>
    <w:name w:val="Header Char"/>
    <w:basedOn w:val="DefaultParagraphFont"/>
    <w:link w:val="Header"/>
    <w:uiPriority w:val="99"/>
    <w:rsid w:val="00E618BF"/>
  </w:style>
  <w:style w:type="paragraph" w:styleId="Footer">
    <w:rPr>
      <w:rFonts w:ascii="Arial" w:hAnsi="Arial" w:eastAsia="Arial" w:cs="Arial"/>
      <w:sz w:val="18"/>
      <w:szCs w:val="18"/>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2"/>
      <w:szCs w:val="22"/>
    </w:rP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000000"/>
      <w:rFonts w:ascii="Arial" w:hAnsi="Arial" w:eastAsia="Arial" w:cs="Arial"/>
      <w:sz w:val="30"/>
      <w:szCs w:val="30"/>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000000"/>
      <w:rFonts w:ascii="Arial" w:hAnsi="Arial" w:eastAsia="Arial" w:cs="Arial"/>
      <w:sz w:val="24"/>
      <w:szCs w:val="24"/>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000000"/>
      <w:rFonts w:ascii="Arial" w:hAnsi="Arial" w:eastAsia="Arial" w:cs="Arial"/>
      <w:sz w:val="22"/>
      <w:szCs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Fonts w:ascii="Arial" w:hAnsi="Arial" w:eastAsia="Arial" w:cs="Arial"/>
      <w:sz w:val="22"/>
      <w:szCs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Fonts w:ascii="Arial" w:hAnsi="Arial" w:eastAsia="Arial" w:cs="Arial"/>
      <w:sz w:val="22"/>
      <w:szCs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Fonts w:ascii="Arial" w:hAnsi="Arial" w:eastAsia="Arial" w:cs="Arial"/>
      <w:sz w:val="22"/>
      <w:szCs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Fonts w:ascii="Arial" w:hAnsi="Arial" w:eastAsia="Arial" w:cs="Arial"/>
      <w:sz w:val="22"/>
      <w:szCs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rFonts w:ascii="Arial" w:hAnsi="Arial" w:eastAsia="Arial" w:cs="Arial"/>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rFonts w:ascii="Arial" w:hAnsi="Arial" w:eastAsia="Arial" w:cs="Arial"/>
      <w:sz w:val="22"/>
      <w:szCs w:val="22"/>
    </w:rPr>
  </w:style>
  <w:style w:type="character" w:default="1" w:styleId="DefaultParagraphFont">
    <w:rPr>
      <w:rFonts w:ascii="Arial" w:hAnsi="Arial" w:eastAsia="Arial" w:cs="Arial"/>
      <w:sz w:val="22"/>
      <w:szCs w:val="22"/>
    </w:rPr>
    <w:name w:val="Default Paragraph Font"/>
    <w:uiPriority w:val="1"/>
    <w:semiHidden/>
    <w:unhideWhenUsed/>
  </w:style>
  <w:style w:type="table" w:default="1" w:styleId="TableNormal">
    <w:rPr>
      <w:rFonts w:ascii="Arial" w:hAnsi="Arial" w:eastAsia="Arial" w:cs="Arial"/>
      <w:sz w:val="22"/>
      <w:szCs w:val="22"/>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2"/>
      <w:szCs w:val="22"/>
    </w:rPr>
    <w:name w:val="No List"/>
    <w:uiPriority w:val="99"/>
    <w:semiHidden/>
    <w:unhideWhenUsed/>
  </w:style>
  <w:style w:type="paragraph" w:styleId="NoSpacing">
    <w:rPr>
      <w:rFonts w:ascii="Arial" w:hAnsi="Arial" w:eastAsia="Arial" w:cs="Arial"/>
      <w:sz w:val="22"/>
      <w:szCs w:val="22"/>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365F91" w:themeColor="accent1" w:themeShade="BF"/>
      <w:rFonts w:ascii="Arial" w:hAnsi="Arial" w:eastAsia="Arial" w:cs="Arial"/>
      <w:sz w:val="22"/>
      <w:szCs w:val="22"/>
    </w:rPr>
  </w:style>
  <w:style w:type="character" w:customStyle="1" w:styleId="Heading2Char">
    <w:name w:val="Heading 2 Char"/>
    <w:basedOn w:val="DefaultParagraphFont"/>
    <w:link w:val="Heading2"/>
    <w:uiPriority w:val="9"/>
    <w:rsid w:val="00FC693F"/>
    <w:rPr>
      <w:b/>
      <w:bCs/>
      <w:color w:val="4F81BD" w:themeColor="accent1"/>
      <w:rFonts w:ascii="Arial" w:hAnsi="Arial" w:eastAsia="Arial" w:cs="Arial"/>
      <w:sz w:val="22"/>
      <w:szCs w:val="22"/>
    </w:rPr>
  </w:style>
  <w:style w:type="character" w:customStyle="1" w:styleId="Heading3Char">
    <w:name w:val="Heading 3 Char"/>
    <w:basedOn w:val="DefaultParagraphFont"/>
    <w:link w:val="Heading3"/>
    <w:uiPriority w:val="9"/>
    <w:rsid w:val="00FC693F"/>
    <w:rPr>
      <w:b/>
      <w:bCs/>
      <w:color w:val="4F81BD" w:themeColor="accent1"/>
      <w:rFonts w:ascii="Arial" w:hAnsi="Arial" w:eastAsia="Arial" w:cs="Arial"/>
      <w:sz w:val="22"/>
      <w:szCs w:val="22"/>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b/>
      <w:color w:val="000000"/>
      <w:spacing w:val="5"/>
      <w:kern w:val="28"/>
      <w:rFonts w:ascii="Arial" w:hAnsi="Arial" w:eastAsia="Arial" w:cs="Arial"/>
      <w:sz w:val="40"/>
      <w:szCs w:val="40"/>
    </w:rPr>
  </w:style>
  <w:style w:type="character" w:customStyle="1" w:styleId="TitleChar">
    <w:name w:val="Title Char"/>
    <w:basedOn w:val="DefaultParagraphFont"/>
    <w:link w:val="Title"/>
    <w:uiPriority w:val="10"/>
    <w:rsid w:val="00FC693F"/>
    <w:rPr>
      <w:color w:val="17365D" w:themeColor="text2" w:themeShade="BF"/>
      <w:spacing w:val="5"/>
      <w:kern w:val="28"/>
      <w:rFonts w:ascii="Arial" w:hAnsi="Arial" w:eastAsia="Arial" w:cs="Arial"/>
      <w:sz w:val="22"/>
      <w:szCs w:val="2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rFonts w:ascii="Arial" w:hAnsi="Arial" w:eastAsia="Arial" w:cs="Arial"/>
      <w:sz w:val="22"/>
      <w:szCs w:val="22"/>
    </w:rPr>
  </w:style>
  <w:style w:type="character" w:customStyle="1" w:styleId="SubtitleChar">
    <w:name w:val="Subtitle Char"/>
    <w:basedOn w:val="DefaultParagraphFont"/>
    <w:link w:val="Subtitle"/>
    <w:uiPriority w:val="11"/>
    <w:rsid w:val="00FC693F"/>
    <w:rPr>
      <w:i/>
      <w:iCs/>
      <w:color w:val="4F81BD" w:themeColor="accent1"/>
      <w:spacing w:val="15"/>
      <w:rFonts w:ascii="Arial" w:hAnsi="Arial" w:eastAsia="Arial" w:cs="Arial"/>
      <w:sz w:val="22"/>
      <w:szCs w:val="22"/>
    </w:rPr>
  </w:style>
  <w:style w:type="paragraph" w:styleId="ListParagraph">
    <w:rPr>
      <w:rFonts w:ascii="Arial" w:hAnsi="Arial" w:eastAsia="Arial" w:cs="Arial"/>
      <w:sz w:val="22"/>
      <w:szCs w:val="22"/>
    </w:rPr>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eastAsia="Arial" w:cs="Arial"/>
      <w:sz w:val="22"/>
      <w:szCs w:val="22"/>
    </w:rPr>
  </w:style>
  <w:style w:type="character" w:customStyle="1" w:styleId="BodyTextChar">
    <w:rPr>
      <w:rFonts w:ascii="Arial" w:hAnsi="Arial" w:eastAsia="Arial" w:cs="Arial"/>
      <w:sz w:val="22"/>
      <w:szCs w:val="22"/>
    </w:rPr>
    <w:name w:val="Body Text Char"/>
    <w:basedOn w:val="DefaultParagraphFont"/>
    <w:link w:val="BodyText"/>
    <w:uiPriority w:val="99"/>
    <w:rsid w:val="00AA1D8D"/>
  </w:style>
  <w:style w:type="paragraph" w:styleId="BodyText2">
    <w:rPr>
      <w:rFonts w:ascii="Arial" w:hAnsi="Arial" w:eastAsia="Arial" w:cs="Arial"/>
      <w:sz w:val="22"/>
      <w:szCs w:val="22"/>
    </w:rPr>
    <w:name w:val="Body Text 2"/>
    <w:basedOn w:val="Normal"/>
    <w:link w:val="BodyText2Char"/>
    <w:uiPriority w:val="99"/>
    <w:unhideWhenUsed/>
    <w:rsid w:val="00AA1D8D"/>
    <w:pPr>
      <w:spacing w:after="120" w:line="480" w:lineRule="auto"/>
    </w:pPr>
  </w:style>
  <w:style w:type="character" w:customStyle="1" w:styleId="BodyText2Char">
    <w:rPr>
      <w:rFonts w:ascii="Arial" w:hAnsi="Arial" w:eastAsia="Arial" w:cs="Arial"/>
      <w:sz w:val="22"/>
      <w:szCs w:val="22"/>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sz w:val="22"/>
      <w:szCs w:val="22"/>
    </w:rPr>
  </w:style>
  <w:style w:type="character" w:customStyle="1" w:styleId="BodyText3Char">
    <w:name w:val="Body Text 3 Char"/>
    <w:basedOn w:val="DefaultParagraphFont"/>
    <w:link w:val="BodyText3"/>
    <w:uiPriority w:val="99"/>
    <w:rsid w:val="00AA1D8D"/>
    <w:rPr>
      <w:rFonts w:ascii="Arial" w:hAnsi="Arial" w:eastAsia="Arial" w:cs="Arial"/>
      <w:sz w:val="22"/>
      <w:szCs w:val="22"/>
    </w:rPr>
  </w:style>
  <w:style w:type="paragraph" w:styleId="List">
    <w:rPr>
      <w:rFonts w:ascii="Arial" w:hAnsi="Arial" w:eastAsia="Arial" w:cs="Arial"/>
      <w:sz w:val="22"/>
      <w:szCs w:val="22"/>
    </w:rPr>
    <w:name w:val="List"/>
    <w:basedOn w:val="Normal"/>
    <w:uiPriority w:val="99"/>
    <w:unhideWhenUsed/>
    <w:rsid w:val="00AA1D8D"/>
    <w:pPr>
      <w:ind w:left="360" w:hanging="360"/>
      <w:contextualSpacing/>
    </w:pPr>
  </w:style>
  <w:style w:type="paragraph" w:styleId="List2">
    <w:rPr>
      <w:rFonts w:ascii="Arial" w:hAnsi="Arial" w:eastAsia="Arial" w:cs="Arial"/>
      <w:sz w:val="22"/>
      <w:szCs w:val="22"/>
    </w:rPr>
    <w:name w:val="List 2"/>
    <w:basedOn w:val="Normal"/>
    <w:uiPriority w:val="99"/>
    <w:unhideWhenUsed/>
    <w:rsid w:val="00326F90"/>
    <w:pPr>
      <w:ind w:left="720" w:hanging="360"/>
      <w:contextualSpacing/>
    </w:pPr>
  </w:style>
  <w:style w:type="paragraph" w:styleId="List3">
    <w:rPr>
      <w:rFonts w:ascii="Arial" w:hAnsi="Arial" w:eastAsia="Arial" w:cs="Arial"/>
      <w:sz w:val="22"/>
      <w:szCs w:val="22"/>
    </w:rPr>
    <w:name w:val="List 3"/>
    <w:basedOn w:val="Normal"/>
    <w:uiPriority w:val="99"/>
    <w:unhideWhenUsed/>
    <w:rsid w:val="00326F90"/>
    <w:pPr>
      <w:ind w:left="1080" w:hanging="360"/>
      <w:contextualSpacing/>
    </w:pPr>
  </w:style>
  <w:style w:type="paragraph" w:styleId="ListBullet">
    <w:rPr>
      <w:rFonts w:ascii="Arial" w:hAnsi="Arial" w:eastAsia="Arial" w:cs="Arial"/>
      <w:sz w:val="22"/>
      <w:szCs w:val="22"/>
    </w:rPr>
    <w:name w:val="List Bullet"/>
    <w:basedOn w:val="Normal"/>
    <w:uiPriority w:val="99"/>
    <w:unhideWhenUsed/>
    <w:rsid w:val="00326F90"/>
    <w:pPr>
      <w:numPr>
        <w:numId w:val="1"/>
      </w:numPr>
      <w:contextualSpacing/>
    </w:pPr>
  </w:style>
  <w:style w:type="paragraph" w:styleId="ListBullet2">
    <w:rPr>
      <w:rFonts w:ascii="Arial" w:hAnsi="Arial" w:eastAsia="Arial" w:cs="Arial"/>
      <w:sz w:val="22"/>
      <w:szCs w:val="22"/>
    </w:rPr>
    <w:name w:val="List Bullet 2"/>
    <w:basedOn w:val="Normal"/>
    <w:uiPriority w:val="99"/>
    <w:unhideWhenUsed/>
    <w:rsid w:val="00326F90"/>
    <w:pPr>
      <w:numPr>
        <w:numId w:val="2"/>
      </w:numPr>
      <w:contextualSpacing/>
    </w:pPr>
  </w:style>
  <w:style w:type="paragraph" w:styleId="ListBullet3">
    <w:rPr>
      <w:rFonts w:ascii="Arial" w:hAnsi="Arial" w:eastAsia="Arial" w:cs="Arial"/>
      <w:sz w:val="22"/>
      <w:szCs w:val="22"/>
    </w:rPr>
    <w:name w:val="List Bullet 3"/>
    <w:basedOn w:val="Normal"/>
    <w:uiPriority w:val="99"/>
    <w:unhideWhenUsed/>
    <w:rsid w:val="00326F90"/>
    <w:pPr>
      <w:numPr>
        <w:numId w:val="3"/>
      </w:numPr>
      <w:contextualSpacing/>
    </w:pPr>
  </w:style>
  <w:style w:type="paragraph" w:styleId="ListNumber">
    <w:rPr>
      <w:rFonts w:ascii="Arial" w:hAnsi="Arial" w:eastAsia="Arial" w:cs="Arial"/>
      <w:sz w:val="22"/>
      <w:szCs w:val="22"/>
    </w:rPr>
    <w:name w:val="List Number"/>
    <w:basedOn w:val="Normal"/>
    <w:uiPriority w:val="99"/>
    <w:unhideWhenUsed/>
    <w:rsid w:val="00326F90"/>
    <w:pPr>
      <w:numPr>
        <w:numId w:val="5"/>
      </w:numPr>
      <w:contextualSpacing/>
    </w:pPr>
  </w:style>
  <w:style w:type="paragraph" w:styleId="ListNumber2">
    <w:rPr>
      <w:rFonts w:ascii="Arial" w:hAnsi="Arial" w:eastAsia="Arial" w:cs="Arial"/>
      <w:sz w:val="22"/>
      <w:szCs w:val="22"/>
    </w:rPr>
    <w:name w:val="List Number 2"/>
    <w:basedOn w:val="Normal"/>
    <w:uiPriority w:val="99"/>
    <w:unhideWhenUsed/>
    <w:rsid w:val="0029639D"/>
    <w:pPr>
      <w:numPr>
        <w:numId w:val="6"/>
      </w:numPr>
      <w:contextualSpacing/>
    </w:pPr>
  </w:style>
  <w:style w:type="paragraph" w:styleId="ListNumber3">
    <w:rPr>
      <w:rFonts w:ascii="Arial" w:hAnsi="Arial" w:eastAsia="Arial" w:cs="Arial"/>
      <w:sz w:val="22"/>
      <w:szCs w:val="22"/>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2"/>
      <w:szCs w:val="22"/>
    </w:rPr>
    <w:name w:val="List Continue"/>
    <w:basedOn w:val="Normal"/>
    <w:uiPriority w:val="99"/>
    <w:unhideWhenUsed/>
    <w:rsid w:val="0029639D"/>
    <w:pPr>
      <w:spacing w:after="120"/>
      <w:ind w:left="360"/>
      <w:contextualSpacing/>
    </w:pPr>
  </w:style>
  <w:style w:type="paragraph" w:styleId="ListContinue2">
    <w:rPr>
      <w:rFonts w:ascii="Arial" w:hAnsi="Arial" w:eastAsia="Arial" w:cs="Arial"/>
      <w:sz w:val="22"/>
      <w:szCs w:val="22"/>
    </w:rPr>
    <w:name w:val="List Continue 2"/>
    <w:basedOn w:val="Normal"/>
    <w:uiPriority w:val="99"/>
    <w:unhideWhenUsed/>
    <w:rsid w:val="0029639D"/>
    <w:pPr>
      <w:spacing w:after="120"/>
      <w:ind w:left="720"/>
      <w:contextualSpacing/>
    </w:pPr>
  </w:style>
  <w:style w:type="paragraph" w:styleId="ListContinue3">
    <w:rPr>
      <w:rFonts w:ascii="Arial" w:hAnsi="Arial" w:eastAsia="Arial" w:cs="Arial"/>
      <w:sz w:val="22"/>
      <w:szCs w:val="22"/>
    </w:rPr>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2"/>
      <w:szCs w:val="22"/>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2"/>
      <w:szCs w:val="22"/>
    </w:rPr>
  </w:style>
  <w:style w:type="character" w:customStyle="1" w:styleId="Heading4Char">
    <w:name w:val="Heading 4 Char"/>
    <w:basedOn w:val="DefaultParagraphFont"/>
    <w:link w:val="Heading4"/>
    <w:uiPriority w:val="9"/>
    <w:semiHidden/>
    <w:rsid w:val="00FC693F"/>
    <w:rPr>
      <w:b/>
      <w:bCs/>
      <w:i/>
      <w:iCs/>
      <w:color w:val="4F81BD" w:themeColor="accent1"/>
      <w:rFonts w:ascii="Arial" w:hAnsi="Arial" w:eastAsia="Arial" w:cs="Arial"/>
      <w:sz w:val="22"/>
      <w:szCs w:val="22"/>
    </w:rPr>
  </w:style>
  <w:style w:type="character" w:customStyle="1" w:styleId="Heading5Char">
    <w:name w:val="Heading 5 Char"/>
    <w:basedOn w:val="DefaultParagraphFont"/>
    <w:link w:val="Heading5"/>
    <w:uiPriority w:val="9"/>
    <w:semiHidden/>
    <w:rsid w:val="00FC693F"/>
    <w:rPr>
      <w:color w:val="243F60" w:themeColor="accent1" w:themeShade="7F"/>
      <w:rFonts w:ascii="Arial" w:hAnsi="Arial" w:eastAsia="Arial" w:cs="Arial"/>
      <w:sz w:val="22"/>
      <w:szCs w:val="22"/>
    </w:rPr>
  </w:style>
  <w:style w:type="character" w:customStyle="1" w:styleId="Heading6Char">
    <w:name w:val="Heading 6 Char"/>
    <w:basedOn w:val="DefaultParagraphFont"/>
    <w:link w:val="Heading6"/>
    <w:uiPriority w:val="9"/>
    <w:semiHidden/>
    <w:rsid w:val="00FC693F"/>
    <w:rPr>
      <w:i/>
      <w:iCs/>
      <w:color w:val="243F60" w:themeColor="accent1" w:themeShade="7F"/>
      <w:rFonts w:ascii="Arial" w:hAnsi="Arial" w:eastAsia="Arial" w:cs="Arial"/>
      <w:sz w:val="22"/>
      <w:szCs w:val="22"/>
    </w:rPr>
  </w:style>
  <w:style w:type="character" w:customStyle="1" w:styleId="Heading7Char">
    <w:name w:val="Heading 7 Char"/>
    <w:basedOn w:val="DefaultParagraphFont"/>
    <w:link w:val="Heading7"/>
    <w:uiPriority w:val="9"/>
    <w:semiHidden/>
    <w:rsid w:val="00FC693F"/>
    <w:rPr>
      <w:i/>
      <w:iCs/>
      <w:color w:val="404040" w:themeColor="text1" w:themeTint="BF"/>
      <w:rFonts w:ascii="Arial" w:hAnsi="Arial" w:eastAsia="Arial" w:cs="Arial"/>
      <w:sz w:val="22"/>
      <w:szCs w:val="22"/>
    </w:rPr>
  </w:style>
  <w:style w:type="character" w:customStyle="1" w:styleId="Heading8Char">
    <w:name w:val="Heading 8 Char"/>
    <w:basedOn w:val="DefaultParagraphFont"/>
    <w:link w:val="Heading8"/>
    <w:uiPriority w:val="9"/>
    <w:semiHidden/>
    <w:rsid w:val="00FC693F"/>
    <w:rPr>
      <w:color w:val="4F81BD" w:themeColor="accent1"/>
      <w:rFonts w:ascii="Arial" w:hAnsi="Arial" w:eastAsia="Arial" w:cs="Arial"/>
      <w:sz w:val="22"/>
      <w:szCs w:val="22"/>
    </w:rPr>
  </w:style>
  <w:style w:type="character" w:customStyle="1" w:styleId="Heading9Char">
    <w:name w:val="Heading 9 Char"/>
    <w:basedOn w:val="DefaultParagraphFont"/>
    <w:link w:val="Heading9"/>
    <w:uiPriority w:val="9"/>
    <w:semiHidden/>
    <w:rsid w:val="00FC693F"/>
    <w:rPr>
      <w:i/>
      <w:iCs/>
      <w:color w:val="404040" w:themeColor="text1" w:themeTint="BF"/>
      <w:rFonts w:ascii="Arial" w:hAnsi="Arial" w:eastAsia="Arial" w:cs="Arial"/>
      <w:sz w:val="22"/>
      <w:szCs w:val="22"/>
    </w:rPr>
  </w:style>
  <w:style w:type="paragraph" w:styleId="Caption">
    <w:name w:val="caption"/>
    <w:basedOn w:val="Normal"/>
    <w:next w:val="Normal"/>
    <w:uiPriority w:val="35"/>
    <w:semiHidden/>
    <w:unhideWhenUsed/>
    <w:qFormat/>
    <w:rsid w:val="00FC693F"/>
    <w:pPr>
      <w:spacing w:line="240" w:lineRule="auto"/>
    </w:pPr>
    <w:rPr>
      <w:b/>
      <w:bCs/>
      <w:color w:val="4F81BD" w:themeColor="accent1"/>
      <w:rFonts w:ascii="Arial" w:hAnsi="Arial" w:eastAsia="Arial" w:cs="Arial"/>
      <w:sz w:val="22"/>
      <w:szCs w:val="22"/>
    </w:rPr>
  </w:style>
  <w:style w:type="character" w:styleId="Strong">
    <w:name w:val="Strong"/>
    <w:basedOn w:val="DefaultParagraphFont"/>
    <w:uiPriority w:val="22"/>
    <w:qFormat/>
    <w:rsid w:val="00FC693F"/>
    <w:rPr>
      <w:b/>
      <w:bCs/>
      <w:rFonts w:ascii="Arial" w:hAnsi="Arial" w:eastAsia="Arial" w:cs="Arial"/>
      <w:sz w:val="22"/>
      <w:szCs w:val="22"/>
    </w:rPr>
  </w:style>
  <w:style w:type="character" w:styleId="Emphasis">
    <w:name w:val="Emphasis"/>
    <w:basedOn w:val="DefaultParagraphFont"/>
    <w:uiPriority w:val="20"/>
    <w:qFormat/>
    <w:rsid w:val="00FC693F"/>
    <w:rPr>
      <w:i/>
      <w:iCs/>
      <w:rFonts w:ascii="Arial" w:hAnsi="Arial" w:eastAsia="Arial" w:cs="Arial"/>
      <w:sz w:val="22"/>
      <w:szCs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2"/>
      <w:szCs w:val="22"/>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2"/>
      <w:szCs w:val="22"/>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2"/>
      <w:szCs w:val="22"/>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2"/>
      <w:szCs w:val="22"/>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2"/>
      <w:szCs w:val="22"/>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2"/>
      <w:szCs w:val="22"/>
    </w:rPr>
  </w:style>
  <w:style w:type="character" w:styleId="BookTitle">
    <w:name w:val="Book Title"/>
    <w:basedOn w:val="DefaultParagraphFont"/>
    <w:uiPriority w:val="33"/>
    <w:qFormat/>
    <w:rsid w:val="00FC693F"/>
    <w:rPr>
      <w:b/>
      <w:bCs/>
      <w:smallCaps/>
      <w:spacing w:val="5"/>
      <w:rFonts w:ascii="Arial" w:hAnsi="Arial" w:eastAsia="Arial" w:cs="Arial"/>
      <w:sz w:val="22"/>
      <w:szCs w:val="22"/>
    </w:rPr>
  </w:style>
  <w:style w:type="paragraph" w:styleId="TOCHeading">
    <w:rPr>
      <w:rFonts w:ascii="Arial" w:hAnsi="Arial" w:eastAsia="Arial" w:cs="Arial"/>
      <w:sz w:val="22"/>
      <w:szCs w:val="22"/>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2"/>
      <w:szCs w:val="22"/>
    </w:rPr>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2"/>
      <w:szCs w:val="22"/>
    </w:rPr>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2"/>
      <w:szCs w:val="22"/>
    </w:rPr>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2"/>
      <w:szCs w:val="22"/>
    </w:rPr>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2"/>
      <w:szCs w:val="22"/>
    </w:rPr>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2"/>
      <w:szCs w:val="22"/>
    </w:rPr>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2"/>
      <w:szCs w:val="22"/>
    </w:rPr>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2"/>
      <w:szCs w:val="22"/>
    </w:rPr>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2"/>
      <w:szCs w:val="22"/>
    </w:rPr>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2"/>
      <w:szCs w:val="22"/>
    </w:rPr>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2"/>
      <w:szCs w:val="22"/>
    </w:rPr>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2"/>
      <w:szCs w:val="22"/>
    </w:rPr>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2"/>
      <w:szCs w:val="22"/>
    </w:rPr>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2"/>
      <w:szCs w:val="22"/>
    </w:rPr>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2"/>
      <w:szCs w:val="22"/>
    </w:rPr>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2"/>
      <w:szCs w:val="22"/>
    </w:rPr>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2"/>
      <w:szCs w:val="22"/>
    </w:rPr>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2"/>
      <w:szCs w:val="22"/>
    </w:rPr>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2"/>
      <w:szCs w:val="22"/>
    </w:rPr>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2"/>
      <w:szCs w:val="22"/>
    </w:rPr>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2"/>
      <w:szCs w:val="22"/>
    </w:rPr>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2"/>
      <w:szCs w:val="22"/>
    </w:rPr>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2"/>
      <w:szCs w:val="22"/>
    </w:rPr>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2"/>
      <w:szCs w:val="22"/>
    </w:rPr>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2"/>
      <w:szCs w:val="22"/>
    </w:rPr>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2"/>
      <w:szCs w:val="22"/>
    </w:rPr>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2"/>
      <w:szCs w:val="22"/>
    </w:rPr>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2"/>
      <w:szCs w:val="22"/>
    </w:rPr>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2"/>
      <w:szCs w:val="22"/>
    </w:rPr>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2"/>
      <w:szCs w:val="22"/>
    </w:rPr>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2"/>
      <w:szCs w:val="22"/>
    </w:rPr>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2"/>
      <w:szCs w:val="22"/>
    </w:rPr>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2"/>
      <w:szCs w:val="22"/>
    </w:rPr>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2"/>
      <w:szCs w:val="22"/>
    </w:rPr>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2"/>
      <w:szCs w:val="22"/>
    </w:rPr>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2"/>
      <w:szCs w:val="22"/>
    </w:rPr>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2"/>
      <w:szCs w:val="22"/>
    </w:rPr>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2"/>
      <w:szCs w:val="22"/>
    </w:rPr>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2"/>
      <w:szCs w:val="22"/>
    </w:rPr>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2"/>
      <w:szCs w:val="22"/>
    </w:rPr>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2"/>
      <w:szCs w:val="22"/>
    </w:rPr>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2"/>
      <w:szCs w:val="22"/>
    </w:rPr>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2"/>
      <w:szCs w:val="22"/>
    </w:rPr>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2026-09-24T00:00:00Z</dcterms:modified>
  <cp:category/>
</cp:coreProperties>
</file>